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309B9" w14:textId="1FD2A8E8" w:rsidR="004C34A0" w:rsidRPr="004C34A0" w:rsidRDefault="00A31CAF" w:rsidP="008A7C22">
      <w:pPr>
        <w:keepNext/>
        <w:keepLines/>
        <w:spacing w:after="0" w:line="240" w:lineRule="auto"/>
        <w:ind w:right="480"/>
        <w:rPr>
          <w:rFonts w:ascii="Adobe Caslon Pro" w:eastAsia="Times New Roman" w:hAnsi="Adobe Caslon Pro" w:cs="Times New Roman"/>
          <w:color w:val="365F91"/>
          <w:spacing w:val="-20"/>
          <w:kern w:val="28"/>
          <w:sz w:val="44"/>
          <w:szCs w:val="20"/>
          <w:u w:val="single"/>
        </w:rPr>
      </w:pPr>
      <w:r w:rsidRPr="004C34A0">
        <w:rPr>
          <w:rFonts w:ascii="Adobe Caslon Pro" w:eastAsia="Times New Roman" w:hAnsi="Adobe Caslon Pro" w:cs="Times New Roman"/>
          <w:noProof/>
          <w:color w:val="365F91"/>
          <w:spacing w:val="-20"/>
          <w:kern w:val="28"/>
          <w:sz w:val="44"/>
          <w:szCs w:val="20"/>
          <w:u w:val="single"/>
        </w:rPr>
        <mc:AlternateContent>
          <mc:Choice Requires="wps">
            <w:drawing>
              <wp:anchor distT="45720" distB="45720" distL="114300" distR="114300" simplePos="0" relativeHeight="251659264" behindDoc="0" locked="0" layoutInCell="1" allowOverlap="1" wp14:anchorId="558CCCE0" wp14:editId="3F2201F3">
                <wp:simplePos x="0" y="0"/>
                <wp:positionH relativeFrom="page">
                  <wp:align>right</wp:align>
                </wp:positionH>
                <wp:positionV relativeFrom="paragraph">
                  <wp:posOffset>-647700</wp:posOffset>
                </wp:positionV>
                <wp:extent cx="4860925" cy="889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925" cy="635000"/>
                        </a:xfrm>
                        <a:prstGeom prst="rect">
                          <a:avLst/>
                        </a:prstGeom>
                        <a:solidFill>
                          <a:srgbClr val="1F497D"/>
                        </a:solidFill>
                        <a:ln w="9525">
                          <a:noFill/>
                          <a:miter lim="800000"/>
                          <a:headEnd/>
                          <a:tailEnd/>
                        </a:ln>
                      </wps:spPr>
                      <wps:txbx>
                        <w:txbxContent>
                          <w:p w14:paraId="34E9AB44" w14:textId="1CDA71C9" w:rsidR="004C34A0" w:rsidRPr="00156FCA" w:rsidRDefault="00E96887" w:rsidP="004C34A0">
                            <w:pPr>
                              <w:spacing w:after="0"/>
                              <w:jc w:val="center"/>
                              <w:rPr>
                                <w:rFonts w:ascii="Trajan Pro" w:hAnsi="Trajan Pro"/>
                                <w:color w:val="4472C4" w:themeColor="accent1"/>
                                <w:sz w:val="16"/>
                              </w:rPr>
                            </w:pPr>
                            <w:r>
                              <w:rPr>
                                <w:rFonts w:ascii="Trajan Pro" w:hAnsi="Trajan Pro"/>
                                <w:color w:val="4472C4" w:themeColor="accent1"/>
                                <w:sz w:val="16"/>
                              </w:rPr>
                              <w:t xml:space="preserve"> </w:t>
                            </w:r>
                          </w:p>
                          <w:p w14:paraId="035C31DD" w14:textId="40F21354" w:rsidR="004C34A0" w:rsidRPr="007934C4" w:rsidRDefault="00A31CAF" w:rsidP="004C34A0">
                            <w:pPr>
                              <w:spacing w:after="0"/>
                              <w:jc w:val="center"/>
                              <w:rPr>
                                <w:rFonts w:ascii="Trajan Pro" w:hAnsi="Trajan Pro"/>
                                <w:color w:val="FFFFFF" w:themeColor="background1"/>
                                <w:sz w:val="72"/>
                              </w:rPr>
                            </w:pPr>
                            <w:r>
                              <w:rPr>
                                <w:rFonts w:ascii="Trajan Pro" w:hAnsi="Trajan Pro"/>
                                <w:color w:val="FFFFFF" w:themeColor="background1"/>
                                <w:sz w:val="72"/>
                              </w:rPr>
                              <w:t xml:space="preserve">Policy </w:t>
                            </w:r>
                            <w:r w:rsidR="008F0A2D">
                              <w:rPr>
                                <w:rFonts w:ascii="Trajan Pro" w:hAnsi="Trajan Pro"/>
                                <w:color w:val="FFFFFF" w:themeColor="background1"/>
                                <w:sz w:val="72"/>
                              </w:rPr>
                              <w:t>Platform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CCCE0" id="_x0000_t202" coordsize="21600,21600" o:spt="202" path="m,l,21600r21600,l21600,xe">
                <v:stroke joinstyle="miter"/>
                <v:path gradientshapeok="t" o:connecttype="rect"/>
              </v:shapetype>
              <v:shape id="Text Box 2" o:spid="_x0000_s1026" type="#_x0000_t202" style="position:absolute;margin-left:331.55pt;margin-top:-51pt;width:382.75pt;height:70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LQIgIAAB0EAAAOAAAAZHJzL2Uyb0RvYy54bWysU9tu2zAMfR+wfxD0vviyXI04RZcsw4Du&#10;ArT7AFmWY2GS6ElK7OzrR8lpGnRvw14EUiSPDg+p9d2gFTkJ6ySYkmaTlBJhONTSHEr642n/bkmJ&#10;88zUTIERJT0LR+82b9+s+64QObSgamEJghhX9F1JW++7Ikkcb4VmbgKdMBhswGrm0bWHpLasR3St&#10;kjxN50kPtu4scOEc3u7GIN1E/KYR3H9rGic8USVFbj6eNp5VOJPNmhUHy7pW8gsN9g8sNJMGH71C&#10;7Zhn5GjlX1BacgsOGj/hoBNoGslF7AG7ydJX3Ty2rBOxFxTHdVeZ3P+D5V9P3y2RdUnzbEGJYRqH&#10;9CQGTz7AQPKgT9+5AtMeO0z0A17jnGOvrnsA/tMRA9uWmYO4txb6VrAa+WWhMrkpHXFcAKn6L1Dj&#10;M+zoIQINjdVBPJSDIDrO6XydTaDC8XK6nKerfEYJx9j8/SxN4/ASVjxXd9b5TwI0CUZJLc4+orPT&#10;g/OBDSueU8JjDpSs91Kp6NhDtVWWnBjuSbafrha72MCrNGVIX9LVDHmEKgOhPq6Qlh73WEld0iVS&#10;G8mxIqjx0dQxxTOpRhuZKHORJygyauOHasDEoFkF9RmFsjDuK/4vNFqwvynpcVdL6n4dmRWUqM8G&#10;xV5l02lY7uhMZ4scHXsbqW4jzHCEKqmnZDS3Pn6IsaN7HEojo14vTC5ccQejjJf/Epb81o9ZL796&#10;8wcAAP//AwBQSwMEFAAGAAgAAAAhAHX5HtPeAAAACAEAAA8AAABkcnMvZG93bnJldi54bWxMj81O&#10;wzAQhO9IvIO1SNxau0EpJc2mQkhwQqItPIAbb5NAbEex8wNPz3Kit1nNauabfDfbVozUh8Y7hNVS&#10;gSBXetO4CuHj/XmxARGidka33hHCNwXYFddXuc6Mn9yBxmOsBIe4kGmEOsYukzKUNVkdlr4jx97Z&#10;91ZHPvtKml5PHG5bmSi1llY3jhtq3dFTTeXXcbAI+iF5UZ8//tC9mdd5kPt92owT4u3N/LgFEWmO&#10;/8/wh8/oUDDTyQ/OBNEi8JCIsFiphBX79+s0BXFCuNsokEUuLwcUvwAAAP//AwBQSwECLQAUAAYA&#10;CAAAACEAtoM4kv4AAADhAQAAEwAAAAAAAAAAAAAAAAAAAAAAW0NvbnRlbnRfVHlwZXNdLnhtbFBL&#10;AQItABQABgAIAAAAIQA4/SH/1gAAAJQBAAALAAAAAAAAAAAAAAAAAC8BAABfcmVscy8ucmVsc1BL&#10;AQItABQABgAIAAAAIQDlhtLQIgIAAB0EAAAOAAAAAAAAAAAAAAAAAC4CAABkcnMvZTJvRG9jLnht&#10;bFBLAQItABQABgAIAAAAIQB1+R7T3gAAAAgBAAAPAAAAAAAAAAAAAAAAAHwEAABkcnMvZG93bnJl&#10;di54bWxQSwUGAAAAAAQABADzAAAAhwUAAAAA&#10;" fillcolor="#1f497d" stroked="f">
                <v:textbox>
                  <w:txbxContent>
                    <w:p w14:paraId="34E9AB44" w14:textId="1CDA71C9" w:rsidR="004C34A0" w:rsidRPr="00156FCA" w:rsidRDefault="00E96887" w:rsidP="004C34A0">
                      <w:pPr>
                        <w:spacing w:after="0"/>
                        <w:jc w:val="center"/>
                        <w:rPr>
                          <w:rFonts w:ascii="Trajan Pro" w:hAnsi="Trajan Pro"/>
                          <w:color w:val="4472C4" w:themeColor="accent1"/>
                          <w:sz w:val="16"/>
                        </w:rPr>
                      </w:pPr>
                      <w:r>
                        <w:rPr>
                          <w:rFonts w:ascii="Trajan Pro" w:hAnsi="Trajan Pro"/>
                          <w:color w:val="4472C4" w:themeColor="accent1"/>
                          <w:sz w:val="16"/>
                        </w:rPr>
                        <w:t xml:space="preserve"> </w:t>
                      </w:r>
                    </w:p>
                    <w:p w14:paraId="035C31DD" w14:textId="40F21354" w:rsidR="004C34A0" w:rsidRPr="007934C4" w:rsidRDefault="00A31CAF" w:rsidP="004C34A0">
                      <w:pPr>
                        <w:spacing w:after="0"/>
                        <w:jc w:val="center"/>
                        <w:rPr>
                          <w:rFonts w:ascii="Trajan Pro" w:hAnsi="Trajan Pro"/>
                          <w:color w:val="FFFFFF" w:themeColor="background1"/>
                          <w:sz w:val="72"/>
                        </w:rPr>
                      </w:pPr>
                      <w:r>
                        <w:rPr>
                          <w:rFonts w:ascii="Trajan Pro" w:hAnsi="Trajan Pro"/>
                          <w:color w:val="FFFFFF" w:themeColor="background1"/>
                          <w:sz w:val="72"/>
                        </w:rPr>
                        <w:t xml:space="preserve">Policy </w:t>
                      </w:r>
                      <w:r w:rsidR="008F0A2D">
                        <w:rPr>
                          <w:rFonts w:ascii="Trajan Pro" w:hAnsi="Trajan Pro"/>
                          <w:color w:val="FFFFFF" w:themeColor="background1"/>
                          <w:sz w:val="72"/>
                        </w:rPr>
                        <w:t>Platform</w:t>
                      </w:r>
                    </w:p>
                  </w:txbxContent>
                </v:textbox>
                <w10:wrap anchorx="page"/>
              </v:shape>
            </w:pict>
          </mc:Fallback>
        </mc:AlternateContent>
      </w:r>
      <w:r w:rsidR="006D6E29" w:rsidRPr="004C34A0">
        <w:rPr>
          <w:rFonts w:ascii="Arial Black" w:eastAsia="Times New Roman" w:hAnsi="Arial Black" w:cs="Times New Roman"/>
          <w:noProof/>
          <w:spacing w:val="-20"/>
          <w:kern w:val="28"/>
          <w:sz w:val="32"/>
          <w:szCs w:val="20"/>
        </w:rPr>
        <w:drawing>
          <wp:anchor distT="0" distB="0" distL="114300" distR="114300" simplePos="0" relativeHeight="251657216" behindDoc="0" locked="0" layoutInCell="1" allowOverlap="1" wp14:anchorId="27EB2A20" wp14:editId="25700DDE">
            <wp:simplePos x="0" y="0"/>
            <wp:positionH relativeFrom="margin">
              <wp:posOffset>-381000</wp:posOffset>
            </wp:positionH>
            <wp:positionV relativeFrom="paragraph">
              <wp:posOffset>-711200</wp:posOffset>
            </wp:positionV>
            <wp:extent cx="1862746" cy="968887"/>
            <wp:effectExtent l="0" t="0" r="444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2746" cy="968887"/>
                    </a:xfrm>
                    <a:prstGeom prst="rect">
                      <a:avLst/>
                    </a:prstGeom>
                    <a:noFill/>
                  </pic:spPr>
                </pic:pic>
              </a:graphicData>
            </a:graphic>
            <wp14:sizeRelH relativeFrom="page">
              <wp14:pctWidth>0</wp14:pctWidth>
            </wp14:sizeRelH>
            <wp14:sizeRelV relativeFrom="page">
              <wp14:pctHeight>0</wp14:pctHeight>
            </wp14:sizeRelV>
          </wp:anchor>
        </w:drawing>
      </w:r>
    </w:p>
    <w:p w14:paraId="2EC8E6CF" w14:textId="77777777" w:rsidR="004C34A0" w:rsidRPr="00084998" w:rsidRDefault="004C34A0" w:rsidP="002B5F99">
      <w:pPr>
        <w:keepNext/>
        <w:keepLines/>
        <w:spacing w:after="0" w:line="240" w:lineRule="auto"/>
        <w:ind w:left="720" w:right="480"/>
        <w:rPr>
          <w:rFonts w:ascii="Adobe Caslon Pro" w:eastAsia="Times New Roman" w:hAnsi="Adobe Caslon Pro" w:cs="Times New Roman"/>
          <w:color w:val="365F91"/>
          <w:spacing w:val="-20"/>
          <w:kern w:val="28"/>
          <w:sz w:val="28"/>
          <w:szCs w:val="12"/>
        </w:rPr>
      </w:pPr>
    </w:p>
    <w:p w14:paraId="3747FDF7" w14:textId="1B652B76" w:rsidR="00F13193" w:rsidRPr="00E078D0" w:rsidRDefault="00F13193" w:rsidP="002B5F99">
      <w:pPr>
        <w:spacing w:after="0" w:line="240" w:lineRule="auto"/>
        <w:rPr>
          <w:b/>
          <w:bCs/>
          <w:i/>
          <w:iCs/>
          <w:sz w:val="40"/>
          <w:szCs w:val="40"/>
        </w:rPr>
      </w:pPr>
      <w:r w:rsidRPr="00E078D0">
        <w:rPr>
          <w:b/>
          <w:bCs/>
          <w:i/>
          <w:iCs/>
          <w:sz w:val="40"/>
          <w:szCs w:val="40"/>
        </w:rPr>
        <w:t xml:space="preserve">In 2021, CBHC will work to advance these policy priorities: </w:t>
      </w:r>
    </w:p>
    <w:p w14:paraId="337F1F29" w14:textId="77777777" w:rsidR="00F13193" w:rsidRPr="00084998" w:rsidRDefault="00F13193" w:rsidP="00E143F2">
      <w:pPr>
        <w:spacing w:after="0" w:line="240" w:lineRule="auto"/>
        <w:rPr>
          <w:sz w:val="28"/>
          <w:szCs w:val="28"/>
        </w:rPr>
      </w:pPr>
    </w:p>
    <w:p w14:paraId="4C8F6A6F" w14:textId="090DBE3F" w:rsidR="00F13193" w:rsidRPr="004845FB" w:rsidRDefault="00F13193" w:rsidP="00E143F2">
      <w:pPr>
        <w:pStyle w:val="ListParagraph"/>
        <w:numPr>
          <w:ilvl w:val="0"/>
          <w:numId w:val="22"/>
        </w:numPr>
        <w:spacing w:line="240" w:lineRule="auto"/>
        <w:rPr>
          <w:b/>
          <w:bCs/>
        </w:rPr>
      </w:pPr>
      <w:r w:rsidRPr="004845FB">
        <w:rPr>
          <w:b/>
          <w:bCs/>
          <w:sz w:val="32"/>
          <w:szCs w:val="32"/>
        </w:rPr>
        <w:t>Protect Funding for Behavioral Health Services &amp; Supports</w:t>
      </w:r>
    </w:p>
    <w:p w14:paraId="25C9CF23" w14:textId="77777777" w:rsidR="00E143F2" w:rsidRPr="00E143F2" w:rsidRDefault="00E143F2" w:rsidP="00E143F2">
      <w:pPr>
        <w:pStyle w:val="ListParagraph"/>
        <w:spacing w:line="240" w:lineRule="auto"/>
        <w:ind w:left="1440"/>
        <w:rPr>
          <w:sz w:val="8"/>
          <w:szCs w:val="8"/>
        </w:rPr>
      </w:pPr>
    </w:p>
    <w:p w14:paraId="1AD33D61" w14:textId="400BF52E" w:rsidR="004845FB" w:rsidRPr="00084998" w:rsidRDefault="004845FB" w:rsidP="00E143F2">
      <w:pPr>
        <w:pStyle w:val="ListParagraph"/>
        <w:numPr>
          <w:ilvl w:val="1"/>
          <w:numId w:val="22"/>
        </w:numPr>
        <w:spacing w:line="240" w:lineRule="auto"/>
        <w:rPr>
          <w:sz w:val="24"/>
          <w:szCs w:val="24"/>
        </w:rPr>
      </w:pPr>
      <w:r w:rsidRPr="004845FB">
        <w:rPr>
          <w:sz w:val="24"/>
          <w:szCs w:val="24"/>
        </w:rPr>
        <w:t xml:space="preserve">CBHC will advocate </w:t>
      </w:r>
      <w:r w:rsidR="00745937">
        <w:rPr>
          <w:sz w:val="24"/>
          <w:szCs w:val="24"/>
        </w:rPr>
        <w:t>to restore</w:t>
      </w:r>
      <w:r w:rsidRPr="004845FB">
        <w:rPr>
          <w:sz w:val="24"/>
          <w:szCs w:val="24"/>
        </w:rPr>
        <w:t xml:space="preserve"> funding for </w:t>
      </w:r>
      <w:r>
        <w:rPr>
          <w:sz w:val="24"/>
          <w:szCs w:val="24"/>
        </w:rPr>
        <w:t xml:space="preserve">critical </w:t>
      </w:r>
      <w:r w:rsidRPr="004845FB">
        <w:rPr>
          <w:sz w:val="24"/>
          <w:szCs w:val="24"/>
        </w:rPr>
        <w:t>services that were cut in 2020</w:t>
      </w:r>
      <w:r w:rsidR="00084998">
        <w:rPr>
          <w:sz w:val="24"/>
          <w:szCs w:val="24"/>
        </w:rPr>
        <w:t xml:space="preserve"> and </w:t>
      </w:r>
      <w:r w:rsidRPr="00084998">
        <w:rPr>
          <w:sz w:val="24"/>
          <w:szCs w:val="24"/>
        </w:rPr>
        <w:t xml:space="preserve">argue against </w:t>
      </w:r>
      <w:r w:rsidR="00084998">
        <w:rPr>
          <w:sz w:val="24"/>
          <w:szCs w:val="24"/>
        </w:rPr>
        <w:t>specific</w:t>
      </w:r>
      <w:r w:rsidRPr="00084998">
        <w:rPr>
          <w:sz w:val="24"/>
          <w:szCs w:val="24"/>
        </w:rPr>
        <w:t xml:space="preserve"> proposed cuts in the 2021 budget </w:t>
      </w:r>
    </w:p>
    <w:p w14:paraId="299CB9E3" w14:textId="5AA4E225" w:rsidR="00745937" w:rsidRDefault="00745937" w:rsidP="00E143F2">
      <w:pPr>
        <w:pStyle w:val="ListParagraph"/>
        <w:numPr>
          <w:ilvl w:val="1"/>
          <w:numId w:val="22"/>
        </w:numPr>
        <w:spacing w:after="0" w:line="240" w:lineRule="auto"/>
        <w:rPr>
          <w:sz w:val="24"/>
          <w:szCs w:val="24"/>
        </w:rPr>
      </w:pPr>
      <w:r>
        <w:rPr>
          <w:sz w:val="24"/>
          <w:szCs w:val="24"/>
        </w:rPr>
        <w:t>CBHC will support legislation that directs federal and state stimulus dollars to support providers that are experiencing reduced client contacts and revenue due to the COVID-19 pandemic and the economic downturn</w:t>
      </w:r>
    </w:p>
    <w:p w14:paraId="02848A26" w14:textId="6F790E6C" w:rsidR="00084998" w:rsidRDefault="00084998" w:rsidP="00E143F2">
      <w:pPr>
        <w:pStyle w:val="ListParagraph"/>
        <w:numPr>
          <w:ilvl w:val="1"/>
          <w:numId w:val="22"/>
        </w:numPr>
        <w:spacing w:after="0" w:line="240" w:lineRule="auto"/>
        <w:rPr>
          <w:sz w:val="24"/>
          <w:szCs w:val="24"/>
        </w:rPr>
      </w:pPr>
      <w:r>
        <w:rPr>
          <w:sz w:val="24"/>
          <w:szCs w:val="24"/>
        </w:rPr>
        <w:t xml:space="preserve">CBHC will </w:t>
      </w:r>
      <w:r w:rsidR="00E078D0">
        <w:rPr>
          <w:sz w:val="24"/>
          <w:szCs w:val="24"/>
        </w:rPr>
        <w:t xml:space="preserve">build upon national reforms and </w:t>
      </w:r>
      <w:r>
        <w:rPr>
          <w:sz w:val="24"/>
          <w:szCs w:val="24"/>
        </w:rPr>
        <w:t>work with state policymakers to advance innovative payment models that support a statewide standard of community-based mental health care</w:t>
      </w:r>
    </w:p>
    <w:p w14:paraId="4ED0A6AE" w14:textId="323AEB8A" w:rsidR="00745937" w:rsidRPr="00E143F2" w:rsidRDefault="00745937" w:rsidP="00E143F2">
      <w:pPr>
        <w:spacing w:after="0" w:line="240" w:lineRule="auto"/>
        <w:rPr>
          <w:sz w:val="24"/>
          <w:szCs w:val="24"/>
        </w:rPr>
      </w:pPr>
    </w:p>
    <w:p w14:paraId="635FCEAC" w14:textId="506046FD" w:rsidR="001C69B8" w:rsidRDefault="001C69B8" w:rsidP="00E143F2">
      <w:pPr>
        <w:pStyle w:val="ListParagraph"/>
        <w:numPr>
          <w:ilvl w:val="0"/>
          <w:numId w:val="24"/>
        </w:numPr>
        <w:spacing w:line="240" w:lineRule="auto"/>
        <w:rPr>
          <w:b/>
          <w:bCs/>
          <w:sz w:val="32"/>
          <w:szCs w:val="32"/>
        </w:rPr>
      </w:pPr>
      <w:r w:rsidRPr="001C69B8">
        <w:rPr>
          <w:b/>
          <w:bCs/>
          <w:sz w:val="32"/>
          <w:szCs w:val="32"/>
        </w:rPr>
        <w:t>Advance Mental Health First Aid</w:t>
      </w:r>
      <w:r>
        <w:rPr>
          <w:b/>
          <w:bCs/>
          <w:sz w:val="32"/>
          <w:szCs w:val="32"/>
        </w:rPr>
        <w:t xml:space="preserve"> &amp; Other Initiatives that Support Community Resilience</w:t>
      </w:r>
    </w:p>
    <w:p w14:paraId="381014D7" w14:textId="77777777" w:rsidR="00E143F2" w:rsidRPr="00E143F2" w:rsidRDefault="00E143F2" w:rsidP="00E143F2">
      <w:pPr>
        <w:pStyle w:val="ListParagraph"/>
        <w:spacing w:line="240" w:lineRule="auto"/>
        <w:ind w:left="1440"/>
        <w:rPr>
          <w:b/>
          <w:bCs/>
          <w:sz w:val="8"/>
          <w:szCs w:val="8"/>
        </w:rPr>
      </w:pPr>
    </w:p>
    <w:p w14:paraId="189029BC" w14:textId="4A1C3AFF" w:rsidR="001C69B8" w:rsidRPr="001C69B8" w:rsidRDefault="001C69B8" w:rsidP="00E143F2">
      <w:pPr>
        <w:pStyle w:val="ListParagraph"/>
        <w:numPr>
          <w:ilvl w:val="1"/>
          <w:numId w:val="24"/>
        </w:numPr>
        <w:spacing w:line="240" w:lineRule="auto"/>
        <w:rPr>
          <w:b/>
          <w:bCs/>
          <w:sz w:val="32"/>
          <w:szCs w:val="32"/>
        </w:rPr>
      </w:pPr>
      <w:r>
        <w:rPr>
          <w:sz w:val="24"/>
          <w:szCs w:val="24"/>
        </w:rPr>
        <w:t xml:space="preserve">CBHC will lead legislation to expand behavioral health training for educators and teens  </w:t>
      </w:r>
    </w:p>
    <w:p w14:paraId="6A0FAFA9" w14:textId="29390F81" w:rsidR="001C69B8" w:rsidRPr="001C69B8" w:rsidRDefault="001C69B8" w:rsidP="00E143F2">
      <w:pPr>
        <w:pStyle w:val="ListParagraph"/>
        <w:numPr>
          <w:ilvl w:val="1"/>
          <w:numId w:val="24"/>
        </w:numPr>
        <w:spacing w:after="0" w:line="240" w:lineRule="auto"/>
        <w:rPr>
          <w:b/>
          <w:bCs/>
          <w:sz w:val="32"/>
          <w:szCs w:val="32"/>
        </w:rPr>
      </w:pPr>
      <w:r>
        <w:rPr>
          <w:sz w:val="24"/>
          <w:szCs w:val="24"/>
        </w:rPr>
        <w:t>CBHC will explore legislation to support the community disaster response efforts of Colorado’s Community Mental Health Centers</w:t>
      </w:r>
    </w:p>
    <w:p w14:paraId="5D084911" w14:textId="77777777" w:rsidR="001C69B8" w:rsidRPr="001C69B8" w:rsidRDefault="001C69B8" w:rsidP="00E143F2">
      <w:pPr>
        <w:spacing w:after="0" w:line="240" w:lineRule="auto"/>
        <w:rPr>
          <w:b/>
          <w:bCs/>
          <w:sz w:val="24"/>
          <w:szCs w:val="24"/>
        </w:rPr>
      </w:pPr>
    </w:p>
    <w:p w14:paraId="42E9D944" w14:textId="028B7F99" w:rsidR="001C69B8" w:rsidRDefault="001C69B8" w:rsidP="00E143F2">
      <w:pPr>
        <w:pStyle w:val="ListParagraph"/>
        <w:numPr>
          <w:ilvl w:val="0"/>
          <w:numId w:val="24"/>
        </w:numPr>
        <w:spacing w:line="240" w:lineRule="auto"/>
        <w:rPr>
          <w:b/>
          <w:bCs/>
          <w:sz w:val="32"/>
          <w:szCs w:val="32"/>
        </w:rPr>
      </w:pPr>
      <w:r w:rsidRPr="001C69B8">
        <w:rPr>
          <w:b/>
          <w:bCs/>
          <w:sz w:val="32"/>
          <w:szCs w:val="32"/>
        </w:rPr>
        <w:t>Support Behavioral Health Workforce</w:t>
      </w:r>
    </w:p>
    <w:p w14:paraId="78EA688F" w14:textId="77777777" w:rsidR="00E143F2" w:rsidRPr="00E143F2" w:rsidRDefault="00E143F2" w:rsidP="00E143F2">
      <w:pPr>
        <w:pStyle w:val="ListParagraph"/>
        <w:spacing w:line="240" w:lineRule="auto"/>
        <w:ind w:left="1440"/>
        <w:rPr>
          <w:sz w:val="8"/>
          <w:szCs w:val="8"/>
        </w:rPr>
      </w:pPr>
    </w:p>
    <w:p w14:paraId="0812566E" w14:textId="5BFC4B87" w:rsidR="001C69B8" w:rsidRDefault="001C69B8" w:rsidP="00E143F2">
      <w:pPr>
        <w:pStyle w:val="ListParagraph"/>
        <w:numPr>
          <w:ilvl w:val="1"/>
          <w:numId w:val="24"/>
        </w:numPr>
        <w:spacing w:line="240" w:lineRule="auto"/>
        <w:rPr>
          <w:sz w:val="24"/>
          <w:szCs w:val="24"/>
        </w:rPr>
      </w:pPr>
      <w:r w:rsidRPr="001C69B8">
        <w:rPr>
          <w:sz w:val="24"/>
          <w:szCs w:val="24"/>
        </w:rPr>
        <w:t>CBHC will work with regulators to identify opportunities to reduce administrative burden</w:t>
      </w:r>
      <w:r>
        <w:rPr>
          <w:sz w:val="24"/>
          <w:szCs w:val="24"/>
        </w:rPr>
        <w:t xml:space="preserve"> for frontline providers and streamline access to care for consumers</w:t>
      </w:r>
    </w:p>
    <w:p w14:paraId="34C057C2" w14:textId="047AC267" w:rsidR="001C69B8" w:rsidRPr="001C69B8" w:rsidRDefault="001C69B8" w:rsidP="00E143F2">
      <w:pPr>
        <w:pStyle w:val="ListParagraph"/>
        <w:numPr>
          <w:ilvl w:val="1"/>
          <w:numId w:val="24"/>
        </w:numPr>
        <w:spacing w:after="0" w:line="240" w:lineRule="auto"/>
        <w:rPr>
          <w:sz w:val="24"/>
          <w:szCs w:val="24"/>
        </w:rPr>
      </w:pPr>
      <w:r>
        <w:rPr>
          <w:sz w:val="24"/>
          <w:szCs w:val="24"/>
        </w:rPr>
        <w:t>CBHC will advocate for a provider rate increase to support salaries</w:t>
      </w:r>
    </w:p>
    <w:p w14:paraId="76C4E982" w14:textId="77777777" w:rsidR="002B5F99" w:rsidRPr="002B5F99" w:rsidRDefault="002B5F99" w:rsidP="00E143F2">
      <w:pPr>
        <w:spacing w:after="0" w:line="240" w:lineRule="auto"/>
        <w:rPr>
          <w:b/>
          <w:bCs/>
          <w:sz w:val="24"/>
          <w:szCs w:val="24"/>
        </w:rPr>
      </w:pPr>
      <w:bookmarkStart w:id="0" w:name="_Hlk63544695"/>
    </w:p>
    <w:p w14:paraId="5646DCA5" w14:textId="560C1945" w:rsidR="001C69B8" w:rsidRDefault="002B5F99" w:rsidP="00E143F2">
      <w:pPr>
        <w:pStyle w:val="ListParagraph"/>
        <w:numPr>
          <w:ilvl w:val="0"/>
          <w:numId w:val="24"/>
        </w:numPr>
        <w:spacing w:line="240" w:lineRule="auto"/>
        <w:rPr>
          <w:b/>
          <w:bCs/>
          <w:sz w:val="32"/>
          <w:szCs w:val="32"/>
        </w:rPr>
      </w:pPr>
      <w:r>
        <w:rPr>
          <w:b/>
          <w:bCs/>
          <w:sz w:val="32"/>
          <w:szCs w:val="32"/>
        </w:rPr>
        <w:t>Increase Access to Critical Medications, Including Medication Assisted Treatment (MAT) Drugs</w:t>
      </w:r>
    </w:p>
    <w:p w14:paraId="29466D4B" w14:textId="77777777" w:rsidR="00E143F2" w:rsidRPr="00E143F2" w:rsidRDefault="00E143F2" w:rsidP="00E143F2">
      <w:pPr>
        <w:pStyle w:val="ListParagraph"/>
        <w:spacing w:after="0" w:line="240" w:lineRule="auto"/>
        <w:ind w:left="1440"/>
        <w:rPr>
          <w:b/>
          <w:bCs/>
          <w:sz w:val="8"/>
          <w:szCs w:val="8"/>
        </w:rPr>
      </w:pPr>
    </w:p>
    <w:p w14:paraId="29323F77" w14:textId="53BA3314" w:rsidR="002B5F99" w:rsidRPr="002B5F99" w:rsidRDefault="002B5F99" w:rsidP="00E143F2">
      <w:pPr>
        <w:pStyle w:val="ListParagraph"/>
        <w:numPr>
          <w:ilvl w:val="1"/>
          <w:numId w:val="24"/>
        </w:numPr>
        <w:spacing w:after="0" w:line="240" w:lineRule="auto"/>
        <w:rPr>
          <w:b/>
          <w:bCs/>
          <w:sz w:val="32"/>
          <w:szCs w:val="32"/>
        </w:rPr>
      </w:pPr>
      <w:r>
        <w:rPr>
          <w:sz w:val="24"/>
          <w:szCs w:val="24"/>
        </w:rPr>
        <w:t>CBHC will explore statute change to allow licensed mental health clinics and facilities with licensed SUD treatment programs to be included in the definition of “other outlet” in Board of Pharmacy statute and regulation</w:t>
      </w:r>
    </w:p>
    <w:bookmarkEnd w:id="0"/>
    <w:p w14:paraId="07FD07F3" w14:textId="77777777" w:rsidR="002B5F99" w:rsidRPr="002B5F99" w:rsidRDefault="002B5F99" w:rsidP="00E143F2">
      <w:pPr>
        <w:spacing w:after="0" w:line="240" w:lineRule="auto"/>
        <w:ind w:left="360"/>
        <w:rPr>
          <w:b/>
          <w:bCs/>
          <w:sz w:val="24"/>
          <w:szCs w:val="24"/>
        </w:rPr>
      </w:pPr>
    </w:p>
    <w:p w14:paraId="2B1E0880" w14:textId="7ADCE312" w:rsidR="004D6D7D" w:rsidRDefault="002B5F99" w:rsidP="00E143F2">
      <w:pPr>
        <w:pStyle w:val="ListParagraph"/>
        <w:numPr>
          <w:ilvl w:val="0"/>
          <w:numId w:val="24"/>
        </w:numPr>
        <w:spacing w:line="240" w:lineRule="auto"/>
        <w:rPr>
          <w:b/>
          <w:bCs/>
          <w:sz w:val="32"/>
          <w:szCs w:val="32"/>
        </w:rPr>
      </w:pPr>
      <w:r w:rsidRPr="002B5F99">
        <w:rPr>
          <w:b/>
          <w:bCs/>
          <w:sz w:val="32"/>
          <w:szCs w:val="32"/>
        </w:rPr>
        <w:t xml:space="preserve">Collaborate on Behavioral Health </w:t>
      </w:r>
      <w:r>
        <w:rPr>
          <w:b/>
          <w:bCs/>
          <w:sz w:val="32"/>
          <w:szCs w:val="32"/>
        </w:rPr>
        <w:t>Blueprint for Reform Recommendations</w:t>
      </w:r>
    </w:p>
    <w:p w14:paraId="3E97BDD5" w14:textId="77777777" w:rsidR="00E143F2" w:rsidRPr="00E143F2" w:rsidRDefault="00E143F2" w:rsidP="00E143F2">
      <w:pPr>
        <w:pStyle w:val="ListParagraph"/>
        <w:spacing w:line="240" w:lineRule="auto"/>
        <w:ind w:left="1440"/>
        <w:rPr>
          <w:b/>
          <w:bCs/>
          <w:sz w:val="8"/>
          <w:szCs w:val="8"/>
        </w:rPr>
      </w:pPr>
    </w:p>
    <w:p w14:paraId="07001BF5" w14:textId="0DDBA6B9" w:rsidR="002B5F99" w:rsidRPr="002B5F99" w:rsidRDefault="002B5F99" w:rsidP="00E143F2">
      <w:pPr>
        <w:pStyle w:val="ListParagraph"/>
        <w:numPr>
          <w:ilvl w:val="1"/>
          <w:numId w:val="24"/>
        </w:numPr>
        <w:spacing w:line="240" w:lineRule="auto"/>
        <w:rPr>
          <w:b/>
          <w:bCs/>
          <w:sz w:val="32"/>
          <w:szCs w:val="32"/>
        </w:rPr>
      </w:pPr>
      <w:r>
        <w:rPr>
          <w:sz w:val="24"/>
          <w:szCs w:val="24"/>
        </w:rPr>
        <w:t>CBHC will track and collaborate on legislation to develop a plan to create a Behavioral Health Administration in Colorado</w:t>
      </w:r>
    </w:p>
    <w:p w14:paraId="1CE0009E" w14:textId="3250497B" w:rsidR="002B5F99" w:rsidRPr="002B5F99" w:rsidRDefault="002B5F99" w:rsidP="00E143F2">
      <w:pPr>
        <w:pStyle w:val="ListParagraph"/>
        <w:numPr>
          <w:ilvl w:val="1"/>
          <w:numId w:val="24"/>
        </w:numPr>
        <w:spacing w:line="240" w:lineRule="auto"/>
        <w:rPr>
          <w:b/>
          <w:bCs/>
          <w:sz w:val="32"/>
          <w:szCs w:val="32"/>
        </w:rPr>
      </w:pPr>
      <w:r>
        <w:rPr>
          <w:sz w:val="24"/>
          <w:szCs w:val="24"/>
        </w:rPr>
        <w:t>CBHC will seek opportunities to advance Blueprint recommendations that support providers</w:t>
      </w:r>
      <w:r w:rsidR="0053795C">
        <w:rPr>
          <w:sz w:val="24"/>
          <w:szCs w:val="24"/>
        </w:rPr>
        <w:t>’ ability to better serve individuals and communities in need</w:t>
      </w:r>
      <w:r>
        <w:rPr>
          <w:sz w:val="24"/>
          <w:szCs w:val="24"/>
        </w:rPr>
        <w:t xml:space="preserve"> </w:t>
      </w:r>
    </w:p>
    <w:sectPr w:rsidR="002B5F99" w:rsidRPr="002B5F99" w:rsidSect="008F0A2D">
      <w:footerReference w:type="even" r:id="rId11"/>
      <w:footerReference w:type="default" r:id="rId12"/>
      <w:footerReference w:type="first" r:id="rId13"/>
      <w:pgSz w:w="12240" w:h="15840" w:code="1"/>
      <w:pgMar w:top="1152" w:right="1080" w:bottom="1152" w:left="10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B92CA" w14:textId="77777777" w:rsidR="00504DDF" w:rsidRDefault="00504DDF" w:rsidP="004C34A0">
      <w:pPr>
        <w:spacing w:after="0" w:line="240" w:lineRule="auto"/>
      </w:pPr>
      <w:r>
        <w:separator/>
      </w:r>
    </w:p>
  </w:endnote>
  <w:endnote w:type="continuationSeparator" w:id="0">
    <w:p w14:paraId="5D445323" w14:textId="77777777" w:rsidR="00504DDF" w:rsidRDefault="00504DDF" w:rsidP="004C3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useo Sans Rounded 300">
    <w:altName w:val="Calibri"/>
    <w:panose1 w:val="00000000000000000000"/>
    <w:charset w:val="00"/>
    <w:family w:val="swiss"/>
    <w:notTrueType/>
    <w:pitch w:val="default"/>
    <w:sig w:usb0="00000003" w:usb1="00000000" w:usb2="00000000" w:usb3="00000000" w:csb0="00000001" w:csb1="00000000"/>
  </w:font>
  <w:font w:name="Adobe Caslon Pro">
    <w:altName w:val="Palatino Linotype"/>
    <w:panose1 w:val="00000000000000000000"/>
    <w:charset w:val="00"/>
    <w:family w:val="roman"/>
    <w:notTrueType/>
    <w:pitch w:val="variable"/>
    <w:sig w:usb0="00000001" w:usb1="00000001" w:usb2="00000000" w:usb3="00000000" w:csb0="00000093" w:csb1="00000000"/>
  </w:font>
  <w:font w:name="Trajan Pro">
    <w:altName w:val="Cambria"/>
    <w:panose1 w:val="00000000000000000000"/>
    <w:charset w:val="00"/>
    <w:family w:val="roman"/>
    <w:notTrueType/>
    <w:pitch w:val="variable"/>
    <w:sig w:usb0="00000001"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652C4" w14:textId="0FB01FA4" w:rsidR="004133DF" w:rsidRPr="00E24158" w:rsidRDefault="00E24158" w:rsidP="00E24158">
    <w:pPr>
      <w:pStyle w:val="Default"/>
      <w:rPr>
        <w:rFonts w:cstheme="minorBidi"/>
        <w:color w:val="auto"/>
        <w:sz w:val="19"/>
        <w:szCs w:val="19"/>
      </w:rPr>
    </w:pPr>
    <w:r w:rsidRPr="00E24158">
      <w:rPr>
        <w:b/>
        <w:bCs/>
        <w:iCs/>
        <w:sz w:val="20"/>
      </w:rPr>
      <w:t>Citation</w:t>
    </w:r>
    <w:r>
      <w:rPr>
        <w:i/>
        <w:sz w:val="20"/>
      </w:rPr>
      <w:t xml:space="preserve">: </w:t>
    </w:r>
    <w:r>
      <w:rPr>
        <w:rFonts w:cstheme="minorBidi"/>
        <w:color w:val="auto"/>
        <w:sz w:val="19"/>
        <w:szCs w:val="19"/>
      </w:rPr>
      <w:t>Petterson, Steve et al. “</w:t>
    </w:r>
    <w:r w:rsidRPr="00E24158">
      <w:rPr>
        <w:rFonts w:cstheme="minorBidi"/>
        <w:i/>
        <w:iCs/>
        <w:color w:val="auto"/>
        <w:sz w:val="19"/>
        <w:szCs w:val="19"/>
      </w:rPr>
      <w:t>Projected Deaths of Despair During the Coronavirus Recession</w:t>
    </w:r>
    <w:r>
      <w:rPr>
        <w:rFonts w:cstheme="minorBidi"/>
        <w:color w:val="auto"/>
        <w:sz w:val="19"/>
        <w:szCs w:val="19"/>
      </w:rPr>
      <w:t xml:space="preserve">,” Well Being Trust. May 8, 2020. WellBeingTrust.org, </w:t>
    </w:r>
    <w:r w:rsidRPr="00E24158">
      <w:rPr>
        <w:rFonts w:cstheme="minorBidi"/>
        <w:color w:val="auto"/>
        <w:sz w:val="19"/>
        <w:szCs w:val="19"/>
      </w:rPr>
      <w:t>wellbeingtrust.org/wp-content/uploads/2020/05/WBT_Deaths-of-Despair_COVID-19-FINAL-FINAL.pdf</w:t>
    </w:r>
    <w:r>
      <w:rPr>
        <w:rFonts w:cstheme="minorBidi"/>
        <w:color w:val="auto"/>
        <w:sz w:val="19"/>
        <w:szCs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3CC76" w14:textId="108BAF4F" w:rsidR="008F0A2D" w:rsidRPr="00084998" w:rsidRDefault="0002369D" w:rsidP="0002369D">
    <w:pPr>
      <w:pStyle w:val="Footer"/>
      <w:jc w:val="center"/>
      <w:rPr>
        <w:i/>
        <w:iCs/>
        <w:sz w:val="20"/>
        <w:szCs w:val="20"/>
      </w:rPr>
    </w:pPr>
    <w:r w:rsidRPr="00084998">
      <w:rPr>
        <w:i/>
        <w:iCs/>
        <w:sz w:val="20"/>
        <w:szCs w:val="20"/>
      </w:rPr>
      <w:t>Contact Frank Cornelia, Deputy Director &amp; Chief Strategy Officer, CBHC at 720-454-5740 or at fcornelia@cbhc.org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FDC77" w14:textId="77777777" w:rsidR="001D27FC" w:rsidRDefault="008865E3" w:rsidP="00DC74E0">
    <w:pPr>
      <w:pStyle w:val="FooterFirst"/>
      <w:tabs>
        <w:tab w:val="clear" w:pos="4320"/>
        <w:tab w:val="clear" w:pos="9480"/>
        <w:tab w:val="left" w:pos="2985"/>
      </w:tabs>
      <w:ind w:left="0"/>
    </w:pPr>
    <w:r>
      <w:rPr>
        <w:noProof/>
      </w:rPr>
      <w:drawing>
        <wp:anchor distT="0" distB="0" distL="114300" distR="114300" simplePos="0" relativeHeight="251664896" behindDoc="0" locked="0" layoutInCell="1" allowOverlap="1" wp14:anchorId="12988A1F" wp14:editId="00F793B1">
          <wp:simplePos x="0" y="0"/>
          <wp:positionH relativeFrom="margin">
            <wp:posOffset>-612775</wp:posOffset>
          </wp:positionH>
          <wp:positionV relativeFrom="margin">
            <wp:posOffset>8604250</wp:posOffset>
          </wp:positionV>
          <wp:extent cx="7772400" cy="3143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Bottom.jpg"/>
                  <pic:cNvPicPr/>
                </pic:nvPicPr>
                <pic:blipFill rotWithShape="1">
                  <a:blip r:embed="rId1" cstate="print">
                    <a:extLst>
                      <a:ext uri="{28A0092B-C50C-407E-A947-70E740481C1C}">
                        <a14:useLocalDpi xmlns:a14="http://schemas.microsoft.com/office/drawing/2010/main" val="0"/>
                      </a:ext>
                    </a:extLst>
                  </a:blip>
                  <a:srcRect b="54167"/>
                  <a:stretch/>
                </pic:blipFill>
                <pic:spPr bwMode="auto">
                  <a:xfrm>
                    <a:off x="0" y="0"/>
                    <a:ext cx="7772400" cy="3143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46DAE" w14:textId="77777777" w:rsidR="00504DDF" w:rsidRDefault="00504DDF" w:rsidP="004C34A0">
      <w:pPr>
        <w:spacing w:after="0" w:line="240" w:lineRule="auto"/>
      </w:pPr>
      <w:r>
        <w:separator/>
      </w:r>
    </w:p>
  </w:footnote>
  <w:footnote w:type="continuationSeparator" w:id="0">
    <w:p w14:paraId="15057A9E" w14:textId="77777777" w:rsidR="00504DDF" w:rsidRDefault="00504DDF" w:rsidP="004C3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F5C0F"/>
    <w:multiLevelType w:val="hybridMultilevel"/>
    <w:tmpl w:val="1472984E"/>
    <w:lvl w:ilvl="0" w:tplc="8B162B36">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56D5785"/>
    <w:multiLevelType w:val="hybridMultilevel"/>
    <w:tmpl w:val="B07C0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C744A"/>
    <w:multiLevelType w:val="hybridMultilevel"/>
    <w:tmpl w:val="71821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C2EB9"/>
    <w:multiLevelType w:val="hybridMultilevel"/>
    <w:tmpl w:val="47D04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05F89"/>
    <w:multiLevelType w:val="hybridMultilevel"/>
    <w:tmpl w:val="64EADEA8"/>
    <w:lvl w:ilvl="0" w:tplc="6FD00D04">
      <w:start w:val="1"/>
      <w:numFmt w:val="bullet"/>
      <w:lvlText w:val=""/>
      <w:lvlJc w:val="left"/>
      <w:pPr>
        <w:ind w:left="720" w:hanging="360"/>
      </w:pPr>
      <w:rPr>
        <w:rFonts w:ascii="Wingdings" w:hAnsi="Wingdings" w:hint="default"/>
        <w:sz w:val="32"/>
        <w:szCs w:val="32"/>
      </w:rPr>
    </w:lvl>
    <w:lvl w:ilvl="1" w:tplc="678A782A">
      <w:start w:val="1"/>
      <w:numFmt w:val="bullet"/>
      <w:lvlText w:val="o"/>
      <w:lvlJc w:val="left"/>
      <w:pPr>
        <w:ind w:left="1440" w:hanging="360"/>
      </w:pPr>
      <w:rPr>
        <w:rFonts w:ascii="Courier New" w:hAnsi="Courier New" w:cs="Courier New"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522A1"/>
    <w:multiLevelType w:val="hybridMultilevel"/>
    <w:tmpl w:val="4434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65477"/>
    <w:multiLevelType w:val="hybridMultilevel"/>
    <w:tmpl w:val="617E8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42DCC"/>
    <w:multiLevelType w:val="hybridMultilevel"/>
    <w:tmpl w:val="6536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E4ED1"/>
    <w:multiLevelType w:val="hybridMultilevel"/>
    <w:tmpl w:val="04160036"/>
    <w:lvl w:ilvl="0" w:tplc="7948492E">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A14DD6"/>
    <w:multiLevelType w:val="hybridMultilevel"/>
    <w:tmpl w:val="9B24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578E4"/>
    <w:multiLevelType w:val="hybridMultilevel"/>
    <w:tmpl w:val="FF60B152"/>
    <w:lvl w:ilvl="0" w:tplc="435A699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521CB0"/>
    <w:multiLevelType w:val="hybridMultilevel"/>
    <w:tmpl w:val="8252228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B4A7C"/>
    <w:multiLevelType w:val="hybridMultilevel"/>
    <w:tmpl w:val="75F475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CD23EA"/>
    <w:multiLevelType w:val="hybridMultilevel"/>
    <w:tmpl w:val="0EE6D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BB4435"/>
    <w:multiLevelType w:val="hybridMultilevel"/>
    <w:tmpl w:val="A13C1EFA"/>
    <w:lvl w:ilvl="0" w:tplc="AFF4A348">
      <w:start w:val="201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510062"/>
    <w:multiLevelType w:val="hybridMultilevel"/>
    <w:tmpl w:val="C09A513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47D5696D"/>
    <w:multiLevelType w:val="hybridMultilevel"/>
    <w:tmpl w:val="DE88BF4A"/>
    <w:lvl w:ilvl="0" w:tplc="ED3A8684">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526EFA"/>
    <w:multiLevelType w:val="hybridMultilevel"/>
    <w:tmpl w:val="79FC1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65097F"/>
    <w:multiLevelType w:val="hybridMultilevel"/>
    <w:tmpl w:val="196A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D30892"/>
    <w:multiLevelType w:val="hybridMultilevel"/>
    <w:tmpl w:val="DB30760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5DA968AC"/>
    <w:multiLevelType w:val="hybridMultilevel"/>
    <w:tmpl w:val="71D0985E"/>
    <w:lvl w:ilvl="0" w:tplc="ED3A8684">
      <w:start w:val="1"/>
      <w:numFmt w:val="bullet"/>
      <w:lvlText w:val=""/>
      <w:lvlJc w:val="left"/>
      <w:pPr>
        <w:ind w:left="720" w:hanging="360"/>
      </w:pPr>
      <w:rPr>
        <w:rFonts w:ascii="Wingdings" w:hAnsi="Wingdings" w:hint="default"/>
        <w:sz w:val="32"/>
        <w:szCs w:val="32"/>
      </w:rPr>
    </w:lvl>
    <w:lvl w:ilvl="1" w:tplc="841CB444">
      <w:start w:val="1"/>
      <w:numFmt w:val="bullet"/>
      <w:lvlText w:val="o"/>
      <w:lvlJc w:val="left"/>
      <w:pPr>
        <w:ind w:left="1440" w:hanging="360"/>
      </w:pPr>
      <w:rPr>
        <w:rFonts w:ascii="Courier New" w:hAnsi="Courier New" w:cs="Courier New"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FA36AA"/>
    <w:multiLevelType w:val="hybridMultilevel"/>
    <w:tmpl w:val="B71E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C0059"/>
    <w:multiLevelType w:val="hybridMultilevel"/>
    <w:tmpl w:val="EA322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255B72"/>
    <w:multiLevelType w:val="hybridMultilevel"/>
    <w:tmpl w:val="4D8ED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0"/>
  </w:num>
  <w:num w:numId="4">
    <w:abstractNumId w:val="5"/>
  </w:num>
  <w:num w:numId="5">
    <w:abstractNumId w:val="14"/>
  </w:num>
  <w:num w:numId="6">
    <w:abstractNumId w:val="15"/>
  </w:num>
  <w:num w:numId="7">
    <w:abstractNumId w:val="3"/>
  </w:num>
  <w:num w:numId="8">
    <w:abstractNumId w:val="6"/>
  </w:num>
  <w:num w:numId="9">
    <w:abstractNumId w:val="19"/>
  </w:num>
  <w:num w:numId="10">
    <w:abstractNumId w:val="8"/>
  </w:num>
  <w:num w:numId="11">
    <w:abstractNumId w:val="21"/>
  </w:num>
  <w:num w:numId="12">
    <w:abstractNumId w:val="13"/>
  </w:num>
  <w:num w:numId="13">
    <w:abstractNumId w:val="17"/>
  </w:num>
  <w:num w:numId="14">
    <w:abstractNumId w:val="18"/>
  </w:num>
  <w:num w:numId="15">
    <w:abstractNumId w:val="11"/>
  </w:num>
  <w:num w:numId="16">
    <w:abstractNumId w:val="12"/>
  </w:num>
  <w:num w:numId="17">
    <w:abstractNumId w:val="7"/>
  </w:num>
  <w:num w:numId="18">
    <w:abstractNumId w:val="22"/>
  </w:num>
  <w:num w:numId="19">
    <w:abstractNumId w:val="2"/>
  </w:num>
  <w:num w:numId="20">
    <w:abstractNumId w:val="1"/>
  </w:num>
  <w:num w:numId="21">
    <w:abstractNumId w:val="9"/>
  </w:num>
  <w:num w:numId="22">
    <w:abstractNumId w:val="4"/>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4A0"/>
    <w:rsid w:val="0002369D"/>
    <w:rsid w:val="00084998"/>
    <w:rsid w:val="00126EDB"/>
    <w:rsid w:val="001554B8"/>
    <w:rsid w:val="00156FCA"/>
    <w:rsid w:val="001948C1"/>
    <w:rsid w:val="001C69B8"/>
    <w:rsid w:val="00215093"/>
    <w:rsid w:val="00241710"/>
    <w:rsid w:val="002B5F99"/>
    <w:rsid w:val="00374867"/>
    <w:rsid w:val="003C2072"/>
    <w:rsid w:val="003D68A5"/>
    <w:rsid w:val="004133DF"/>
    <w:rsid w:val="004845FB"/>
    <w:rsid w:val="004C34A0"/>
    <w:rsid w:val="004C51BA"/>
    <w:rsid w:val="00504DDF"/>
    <w:rsid w:val="0053795C"/>
    <w:rsid w:val="00576788"/>
    <w:rsid w:val="00597607"/>
    <w:rsid w:val="006D6E29"/>
    <w:rsid w:val="00745937"/>
    <w:rsid w:val="00773AAD"/>
    <w:rsid w:val="007934C4"/>
    <w:rsid w:val="007E7500"/>
    <w:rsid w:val="00876B9B"/>
    <w:rsid w:val="008865E3"/>
    <w:rsid w:val="008A7C22"/>
    <w:rsid w:val="008C6E8B"/>
    <w:rsid w:val="008F0A2D"/>
    <w:rsid w:val="00A31CAF"/>
    <w:rsid w:val="00A3722B"/>
    <w:rsid w:val="00A533E7"/>
    <w:rsid w:val="00AE4211"/>
    <w:rsid w:val="00C80749"/>
    <w:rsid w:val="00C90A2C"/>
    <w:rsid w:val="00CE4495"/>
    <w:rsid w:val="00CF2094"/>
    <w:rsid w:val="00D53628"/>
    <w:rsid w:val="00DD714D"/>
    <w:rsid w:val="00E078D0"/>
    <w:rsid w:val="00E143F2"/>
    <w:rsid w:val="00E24158"/>
    <w:rsid w:val="00E80905"/>
    <w:rsid w:val="00E96887"/>
    <w:rsid w:val="00F13193"/>
    <w:rsid w:val="00F35338"/>
    <w:rsid w:val="00FC0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6B57C"/>
  <w15:chartTrackingRefBased/>
  <w15:docId w15:val="{3BDD2BFF-CD30-4897-BCFF-6EC68649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First">
    <w:name w:val="Footer First"/>
    <w:basedOn w:val="Footer"/>
    <w:rsid w:val="004C34A0"/>
    <w:pPr>
      <w:keepLines/>
      <w:pBdr>
        <w:bottom w:val="single" w:sz="6" w:space="0" w:color="auto"/>
      </w:pBdr>
      <w:tabs>
        <w:tab w:val="clear" w:pos="4680"/>
        <w:tab w:val="clear" w:pos="9360"/>
        <w:tab w:val="center" w:pos="4320"/>
        <w:tab w:val="right" w:pos="9480"/>
      </w:tabs>
      <w:spacing w:before="360"/>
      <w:ind w:left="115" w:right="-835"/>
    </w:pPr>
    <w:rPr>
      <w:rFonts w:ascii="Arial" w:eastAsia="Times New Roman" w:hAnsi="Arial" w:cs="Times New Roman"/>
      <w:i/>
      <w:spacing w:val="-5"/>
      <w:sz w:val="20"/>
      <w:szCs w:val="20"/>
    </w:rPr>
  </w:style>
  <w:style w:type="paragraph" w:styleId="Footer">
    <w:name w:val="footer"/>
    <w:basedOn w:val="Normal"/>
    <w:link w:val="FooterChar"/>
    <w:uiPriority w:val="99"/>
    <w:unhideWhenUsed/>
    <w:rsid w:val="004C3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4A0"/>
  </w:style>
  <w:style w:type="paragraph" w:styleId="Header">
    <w:name w:val="header"/>
    <w:basedOn w:val="Normal"/>
    <w:link w:val="HeaderChar"/>
    <w:uiPriority w:val="99"/>
    <w:unhideWhenUsed/>
    <w:rsid w:val="004C3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4A0"/>
  </w:style>
  <w:style w:type="character" w:styleId="Hyperlink">
    <w:name w:val="Hyperlink"/>
    <w:basedOn w:val="DefaultParagraphFont"/>
    <w:uiPriority w:val="99"/>
    <w:unhideWhenUsed/>
    <w:rsid w:val="004C34A0"/>
    <w:rPr>
      <w:color w:val="0563C1" w:themeColor="hyperlink"/>
      <w:u w:val="single"/>
    </w:rPr>
  </w:style>
  <w:style w:type="character" w:styleId="UnresolvedMention">
    <w:name w:val="Unresolved Mention"/>
    <w:basedOn w:val="DefaultParagraphFont"/>
    <w:uiPriority w:val="99"/>
    <w:semiHidden/>
    <w:unhideWhenUsed/>
    <w:rsid w:val="004C34A0"/>
    <w:rPr>
      <w:color w:val="808080"/>
      <w:shd w:val="clear" w:color="auto" w:fill="E6E6E6"/>
    </w:rPr>
  </w:style>
  <w:style w:type="paragraph" w:styleId="Caption">
    <w:name w:val="caption"/>
    <w:basedOn w:val="Normal"/>
    <w:next w:val="Normal"/>
    <w:uiPriority w:val="35"/>
    <w:unhideWhenUsed/>
    <w:qFormat/>
    <w:rsid w:val="007934C4"/>
    <w:pPr>
      <w:spacing w:after="200" w:line="240" w:lineRule="auto"/>
    </w:pPr>
    <w:rPr>
      <w:rFonts w:ascii="Times New Roman" w:eastAsia="Times New Roman" w:hAnsi="Times New Roman" w:cs="Times New Roman"/>
      <w:i/>
      <w:iCs/>
      <w:color w:val="44546A" w:themeColor="text2"/>
      <w:sz w:val="18"/>
      <w:szCs w:val="18"/>
    </w:rPr>
  </w:style>
  <w:style w:type="table" w:styleId="TableGrid">
    <w:name w:val="Table Grid"/>
    <w:basedOn w:val="TableNormal"/>
    <w:uiPriority w:val="39"/>
    <w:rsid w:val="007934C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33E7"/>
    <w:pPr>
      <w:ind w:left="720"/>
      <w:contextualSpacing/>
    </w:pPr>
  </w:style>
  <w:style w:type="table" w:customStyle="1" w:styleId="TableGrid1">
    <w:name w:val="Table Grid1"/>
    <w:basedOn w:val="TableNormal"/>
    <w:next w:val="TableGrid"/>
    <w:uiPriority w:val="59"/>
    <w:rsid w:val="008A7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6B9B"/>
    <w:pPr>
      <w:autoSpaceDE w:val="0"/>
      <w:autoSpaceDN w:val="0"/>
      <w:adjustRightInd w:val="0"/>
      <w:spacing w:after="0" w:line="240" w:lineRule="auto"/>
    </w:pPr>
    <w:rPr>
      <w:rFonts w:ascii="Museo Sans Rounded 300" w:hAnsi="Museo Sans Rounded 300" w:cs="Museo Sans Rounded 300"/>
      <w:color w:val="000000"/>
      <w:sz w:val="24"/>
      <w:szCs w:val="24"/>
    </w:rPr>
  </w:style>
  <w:style w:type="paragraph" w:customStyle="1" w:styleId="Pa7">
    <w:name w:val="Pa7"/>
    <w:basedOn w:val="Default"/>
    <w:next w:val="Default"/>
    <w:uiPriority w:val="99"/>
    <w:rsid w:val="00876B9B"/>
    <w:pPr>
      <w:spacing w:line="19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232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8D9E68470C8F4887361329CA613172" ma:contentTypeVersion="7" ma:contentTypeDescription="Create a new document." ma:contentTypeScope="" ma:versionID="91d5c85472dc77def5560bf26951e65d">
  <xsd:schema xmlns:xsd="http://www.w3.org/2001/XMLSchema" xmlns:xs="http://www.w3.org/2001/XMLSchema" xmlns:p="http://schemas.microsoft.com/office/2006/metadata/properties" xmlns:ns2="9ea456f7-98b6-406c-b81a-58f777a74641" xmlns:ns3="197e0ace-1fed-4daf-8f7c-f6049f8b45e8" targetNamespace="http://schemas.microsoft.com/office/2006/metadata/properties" ma:root="true" ma:fieldsID="e347363303000e34cba55b1beae65eb1" ns2:_="" ns3:_="">
    <xsd:import namespace="9ea456f7-98b6-406c-b81a-58f777a74641"/>
    <xsd:import namespace="197e0ace-1fed-4daf-8f7c-f6049f8b45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456f7-98b6-406c-b81a-58f777a746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7e0ace-1fed-4daf-8f7c-f6049f8b45e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880579-D19D-425A-BB48-C6D924BCC1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9B43ED-CE1C-4561-A6BE-AF50E091A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456f7-98b6-406c-b81a-58f777a74641"/>
    <ds:schemaRef ds:uri="197e0ace-1fed-4daf-8f7c-f6049f8b4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0FA589-1EFC-4FC5-9CAC-6F7BB5FEC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Cornelia</dc:creator>
  <cp:keywords/>
  <dc:description/>
  <cp:lastModifiedBy>Frank Cornelia</cp:lastModifiedBy>
  <cp:revision>5</cp:revision>
  <cp:lastPrinted>2018-09-13T23:32:00Z</cp:lastPrinted>
  <dcterms:created xsi:type="dcterms:W3CDTF">2021-02-07T05:47:00Z</dcterms:created>
  <dcterms:modified xsi:type="dcterms:W3CDTF">2021-02-07T06:27:00Z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0x010100498D9E68470C8F4887361329CA613172</vt:lpwstr>
  </property>
</Properties>
</file>