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09528" w14:textId="7290C12F" w:rsidR="00F311A7" w:rsidRDefault="00DB578B">
      <w:r w:rsidRPr="00DB578B">
        <w:rPr>
          <w:b/>
          <w:bCs/>
        </w:rPr>
        <w:t>Title</w:t>
      </w:r>
      <w:r>
        <w:t xml:space="preserve">: </w:t>
      </w:r>
      <w:r w:rsidR="00F311A7">
        <w:t>Providing Technology-Based and Culturally Competent Mental Health Care to Military-Connected Populations</w:t>
      </w:r>
    </w:p>
    <w:p w14:paraId="76A6C780" w14:textId="0874CE26" w:rsidR="004114AA" w:rsidRDefault="007A5F44" w:rsidP="004114AA">
      <w:r>
        <w:rPr>
          <w:b/>
          <w:bCs/>
        </w:rPr>
        <w:t>Objectives</w:t>
      </w:r>
      <w:r w:rsidR="00DB578B">
        <w:t xml:space="preserve">: </w:t>
      </w:r>
      <w:r w:rsidR="004114AA">
        <w:t>This session will discuss the use of technology to deliver care to Service Members, Veterans, and their families</w:t>
      </w:r>
      <w:r>
        <w:t xml:space="preserve">, and </w:t>
      </w:r>
      <w:r w:rsidR="004114AA">
        <w:t xml:space="preserve">will include an understanding of Military Culture as a component to care especially when delivered via technology. </w:t>
      </w:r>
    </w:p>
    <w:p w14:paraId="454FB8CD" w14:textId="77777777" w:rsidR="00F27122" w:rsidRPr="00B33F9D" w:rsidRDefault="00F27122" w:rsidP="00F27122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b/>
          <w:bCs/>
        </w:rPr>
      </w:pPr>
      <w:r w:rsidRPr="00B33F9D">
        <w:rPr>
          <w:rFonts w:cstheme="minorHAnsi"/>
          <w:color w:val="1C2F3A"/>
        </w:rPr>
        <w:t>Understand the mental health needs of military-connected populations.</w:t>
      </w:r>
    </w:p>
    <w:p w14:paraId="1E715A21" w14:textId="77777777" w:rsidR="00F27122" w:rsidRPr="00B33F9D" w:rsidRDefault="00F27122" w:rsidP="00F27122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b/>
          <w:bCs/>
        </w:rPr>
      </w:pPr>
      <w:r w:rsidRPr="00B33F9D">
        <w:rPr>
          <w:rFonts w:cstheme="minorHAnsi"/>
          <w:color w:val="1C2F3A"/>
        </w:rPr>
        <w:t>Identify available resources and how to access them, especially through telehealth.</w:t>
      </w:r>
    </w:p>
    <w:p w14:paraId="04153D15" w14:textId="4C75E648" w:rsidR="00F27122" w:rsidRPr="00F27122" w:rsidRDefault="00F27122" w:rsidP="004114AA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b/>
          <w:bCs/>
        </w:rPr>
      </w:pPr>
      <w:r w:rsidRPr="00B33F9D">
        <w:rPr>
          <w:rFonts w:cstheme="minorHAnsi"/>
          <w:color w:val="1C2F3A"/>
        </w:rPr>
        <w:t>Understand the value of military cultural competence.</w:t>
      </w:r>
    </w:p>
    <w:p w14:paraId="6210397D" w14:textId="77777777" w:rsidR="00F27122" w:rsidRPr="00F27122" w:rsidRDefault="00F27122" w:rsidP="00F27122">
      <w:pPr>
        <w:pStyle w:val="ListParagraph"/>
        <w:spacing w:after="0" w:line="240" w:lineRule="auto"/>
        <w:rPr>
          <w:rFonts w:eastAsia="Calibri" w:cstheme="minorHAnsi"/>
          <w:b/>
          <w:bCs/>
        </w:rPr>
      </w:pPr>
    </w:p>
    <w:p w14:paraId="4D84F80A" w14:textId="381D991B" w:rsidR="00E77F38" w:rsidRPr="00F27122" w:rsidRDefault="00385DEB" w:rsidP="00F27122">
      <w:r>
        <w:rPr>
          <w:b/>
          <w:bCs/>
        </w:rPr>
        <w:t>Description</w:t>
      </w:r>
      <w:r>
        <w:t xml:space="preserve">: </w:t>
      </w:r>
      <w:r w:rsidRPr="00E77F38">
        <w:rPr>
          <w:rFonts w:eastAsia="Calibri" w:cs="Arial"/>
        </w:rPr>
        <w:t xml:space="preserve">Telemental health is a standard of care for varied populations and mental health concerns. This presentation will provide an overview of the efficacy literature and current telemental health guidelines. </w:t>
      </w:r>
      <w:r w:rsidR="00F25755">
        <w:rPr>
          <w:rFonts w:eastAsia="Calibri" w:cs="Arial"/>
        </w:rPr>
        <w:t xml:space="preserve">The presentation will be interactive with a focus on understanding telemental health and its various applications to provide services to military-connected populations. </w:t>
      </w:r>
      <w:r w:rsidRPr="00E77F38">
        <w:rPr>
          <w:rFonts w:eastAsia="Calibri" w:cs="Arial"/>
        </w:rPr>
        <w:t>It will discuss mental health access concerns and telemental health use-cases for Service Members, Veterans, and their Families.</w:t>
      </w:r>
      <w:r w:rsidR="00F25755">
        <w:rPr>
          <w:rFonts w:eastAsia="Calibri" w:cs="Arial"/>
        </w:rPr>
        <w:t xml:space="preserve"> I</w:t>
      </w:r>
      <w:r w:rsidRPr="00E77F38">
        <w:rPr>
          <w:rFonts w:eastAsia="Calibri" w:cs="Arial"/>
        </w:rPr>
        <w:t>t will provide recommendations for developing new services.</w:t>
      </w:r>
      <w:r w:rsidR="00E77F38">
        <w:rPr>
          <w:rFonts w:eastAsia="Calibri" w:cs="Arial"/>
        </w:rPr>
        <w:t xml:space="preserve"> </w:t>
      </w:r>
      <w:r w:rsidR="00F25755">
        <w:rPr>
          <w:rFonts w:eastAsia="Calibri" w:cs="Arial"/>
        </w:rPr>
        <w:t xml:space="preserve">Finally, it will discuss military cultural competence as it </w:t>
      </w:r>
      <w:r w:rsidR="00B33F9D">
        <w:rPr>
          <w:rFonts w:eastAsia="Calibri" w:cs="Arial"/>
        </w:rPr>
        <w:t>relates to mental health care in general and telemental health specifically.</w:t>
      </w:r>
      <w:r w:rsidR="00F27122">
        <w:t xml:space="preserve"> </w:t>
      </w:r>
      <w:r w:rsidR="00E77F38">
        <w:rPr>
          <w:rFonts w:eastAsia="Calibri" w:cs="Arial"/>
        </w:rPr>
        <w:t>The following is a brief outline of the presentation:</w:t>
      </w:r>
    </w:p>
    <w:p w14:paraId="181DC324" w14:textId="77777777" w:rsidR="00E77F38" w:rsidRPr="00E77F38" w:rsidRDefault="00E77F38" w:rsidP="00E77F38">
      <w:pPr>
        <w:pStyle w:val="ListParagraph"/>
        <w:numPr>
          <w:ilvl w:val="0"/>
          <w:numId w:val="1"/>
        </w:numPr>
        <w:tabs>
          <w:tab w:val="num" w:pos="1080"/>
        </w:tabs>
        <w:spacing w:after="0" w:line="240" w:lineRule="auto"/>
        <w:rPr>
          <w:rFonts w:eastAsia="Calibri" w:cs="Arial"/>
        </w:rPr>
      </w:pPr>
      <w:r w:rsidRPr="00E77F38">
        <w:t>Definitions and History of Tele</w:t>
      </w:r>
      <w:r>
        <w:t>mental Health</w:t>
      </w:r>
    </w:p>
    <w:p w14:paraId="6AD17165" w14:textId="18C16FAD" w:rsidR="00E77F38" w:rsidRPr="00E77F38" w:rsidRDefault="00E77F38" w:rsidP="00E77F38">
      <w:pPr>
        <w:pStyle w:val="ListParagraph"/>
        <w:numPr>
          <w:ilvl w:val="0"/>
          <w:numId w:val="1"/>
        </w:numPr>
        <w:tabs>
          <w:tab w:val="num" w:pos="1080"/>
        </w:tabs>
        <w:spacing w:after="0" w:line="240" w:lineRule="auto"/>
        <w:rPr>
          <w:rFonts w:eastAsia="Calibri" w:cs="Arial"/>
        </w:rPr>
      </w:pPr>
      <w:r w:rsidRPr="00E77F38">
        <w:t>Evidence for Various Tele</w:t>
      </w:r>
      <w:r>
        <w:t>mental Health</w:t>
      </w:r>
      <w:r w:rsidRPr="00E77F38">
        <w:t xml:space="preserve"> Models of Care</w:t>
      </w:r>
    </w:p>
    <w:p w14:paraId="7A6B392D" w14:textId="77777777" w:rsidR="00E77F38" w:rsidRPr="00E77F38" w:rsidRDefault="00E77F38" w:rsidP="00E77F38">
      <w:pPr>
        <w:pStyle w:val="ListParagraph"/>
        <w:numPr>
          <w:ilvl w:val="0"/>
          <w:numId w:val="1"/>
        </w:numPr>
      </w:pPr>
      <w:r w:rsidRPr="00E77F38">
        <w:t>Guidelines for Legal and Ethical Telepsychiatry</w:t>
      </w:r>
    </w:p>
    <w:p w14:paraId="6DD9A6CD" w14:textId="21169854" w:rsidR="00E77F38" w:rsidRPr="00E77F38" w:rsidRDefault="00E77F38" w:rsidP="00E77F38">
      <w:pPr>
        <w:pStyle w:val="ListParagraph"/>
        <w:numPr>
          <w:ilvl w:val="0"/>
          <w:numId w:val="1"/>
        </w:numPr>
        <w:tabs>
          <w:tab w:val="num" w:pos="1080"/>
        </w:tabs>
        <w:spacing w:after="0" w:line="240" w:lineRule="auto"/>
        <w:rPr>
          <w:rFonts w:eastAsia="Calibri" w:cs="Arial"/>
        </w:rPr>
      </w:pPr>
      <w:r w:rsidRPr="00E77F38">
        <w:t>Guidelines and Program Development</w:t>
      </w:r>
      <w:r>
        <w:t xml:space="preserve"> for Service Members, Veterans, and their Families</w:t>
      </w:r>
    </w:p>
    <w:p w14:paraId="7BBF6C4F" w14:textId="402BADCB" w:rsidR="00E77F38" w:rsidRPr="00E77F38" w:rsidRDefault="00E77F38" w:rsidP="00E77F38">
      <w:pPr>
        <w:pStyle w:val="ListParagraph"/>
        <w:numPr>
          <w:ilvl w:val="0"/>
          <w:numId w:val="1"/>
        </w:numPr>
        <w:tabs>
          <w:tab w:val="num" w:pos="1080"/>
        </w:tabs>
        <w:spacing w:after="0" w:line="240" w:lineRule="auto"/>
        <w:rPr>
          <w:rFonts w:eastAsia="Calibri" w:cs="Arial"/>
        </w:rPr>
      </w:pPr>
      <w:r w:rsidRPr="00E77F38">
        <w:t>Common Practice Considerations</w:t>
      </w:r>
    </w:p>
    <w:p w14:paraId="4791A399" w14:textId="77777777" w:rsidR="00E77F38" w:rsidRPr="00E77F38" w:rsidRDefault="00E77F38" w:rsidP="00E77F38">
      <w:pPr>
        <w:pStyle w:val="ListParagraph"/>
        <w:numPr>
          <w:ilvl w:val="0"/>
          <w:numId w:val="1"/>
        </w:numPr>
        <w:rPr>
          <w:rFonts w:eastAsia="Calibri" w:cs="Arial"/>
        </w:rPr>
      </w:pPr>
      <w:r w:rsidRPr="00E77F38">
        <w:rPr>
          <w:rFonts w:eastAsia="Calibri" w:cs="Arial"/>
        </w:rPr>
        <w:t>Telemental Health for COVID and Beyond</w:t>
      </w:r>
    </w:p>
    <w:p w14:paraId="0937AC05" w14:textId="0D574461" w:rsidR="00385DEB" w:rsidRDefault="00E77F38" w:rsidP="004114AA">
      <w:pPr>
        <w:pStyle w:val="ListParagraph"/>
        <w:numPr>
          <w:ilvl w:val="0"/>
          <w:numId w:val="1"/>
        </w:numPr>
        <w:tabs>
          <w:tab w:val="num" w:pos="1080"/>
        </w:tabs>
        <w:spacing w:after="0" w:line="240" w:lineRule="auto"/>
        <w:rPr>
          <w:rFonts w:eastAsia="Calibri" w:cs="Arial"/>
        </w:rPr>
      </w:pPr>
      <w:r>
        <w:rPr>
          <w:rFonts w:eastAsia="Calibri" w:cs="Arial"/>
        </w:rPr>
        <w:t>Military Cultural Competence and Telemental Health Practice</w:t>
      </w:r>
    </w:p>
    <w:p w14:paraId="67E6F55C" w14:textId="77777777" w:rsidR="00F27122" w:rsidRPr="00F27122" w:rsidRDefault="00F27122" w:rsidP="00F27122">
      <w:pPr>
        <w:pStyle w:val="ListParagraph"/>
        <w:spacing w:after="0" w:line="240" w:lineRule="auto"/>
        <w:rPr>
          <w:rFonts w:eastAsia="Calibri" w:cs="Arial"/>
        </w:rPr>
      </w:pPr>
    </w:p>
    <w:p w14:paraId="5E19F576" w14:textId="77777777" w:rsidR="007A5F44" w:rsidRDefault="007A5F44" w:rsidP="007A5F44">
      <w:pPr>
        <w:spacing w:after="0" w:line="240" w:lineRule="auto"/>
      </w:pPr>
      <w:r>
        <w:t>Matt Mishkind, PhD, SHRM-SCP</w:t>
      </w:r>
    </w:p>
    <w:p w14:paraId="3B6B6ECD" w14:textId="793CB6BF" w:rsidR="007A5F44" w:rsidRDefault="007A5F44" w:rsidP="007A5F44">
      <w:pPr>
        <w:spacing w:after="0" w:line="240" w:lineRule="auto"/>
      </w:pPr>
      <w:r>
        <w:t>Deputy Director, and Director of Operations for Military and Veteran Programs</w:t>
      </w:r>
      <w:r>
        <w:t xml:space="preserve">, </w:t>
      </w:r>
      <w:r>
        <w:t>Helen and Arthur E. Johnson Depression Center</w:t>
      </w:r>
      <w:r>
        <w:t xml:space="preserve">, </w:t>
      </w:r>
      <w:r>
        <w:t>University of Colorado Anschutz Medical Campus</w:t>
      </w:r>
      <w:r>
        <w:t xml:space="preserve">, </w:t>
      </w:r>
      <w:r>
        <w:t>School of Medicine</w:t>
      </w:r>
    </w:p>
    <w:p w14:paraId="7C13EC20" w14:textId="54ACD4D2" w:rsidR="007A5F44" w:rsidRDefault="007A5F44" w:rsidP="007A5F44">
      <w:pPr>
        <w:spacing w:after="0" w:line="240" w:lineRule="auto"/>
      </w:pPr>
      <w:r>
        <w:t>303-724-4967</w:t>
      </w:r>
      <w:r>
        <w:t xml:space="preserve">, </w:t>
      </w:r>
      <w:hyperlink r:id="rId5" w:history="1">
        <w:r w:rsidRPr="006B612B">
          <w:rPr>
            <w:rStyle w:val="Hyperlink"/>
          </w:rPr>
          <w:t>matthew.mishkind@cuanschutz.edu</w:t>
        </w:r>
      </w:hyperlink>
      <w:r>
        <w:t xml:space="preserve">, </w:t>
      </w:r>
      <w:r>
        <w:t>Coloradodepressioncenter.org</w:t>
      </w:r>
    </w:p>
    <w:p w14:paraId="711BC839" w14:textId="77777777" w:rsidR="007A5F44" w:rsidRDefault="007A5F44" w:rsidP="004114AA"/>
    <w:p w14:paraId="39138976" w14:textId="270EC3B2" w:rsidR="007A5F44" w:rsidRPr="00F27122" w:rsidRDefault="00F27122" w:rsidP="004114AA">
      <w:r>
        <w:rPr>
          <w:b/>
          <w:bCs/>
        </w:rPr>
        <w:t>Notes:</w:t>
      </w:r>
    </w:p>
    <w:sectPr w:rsidR="007A5F44" w:rsidRPr="00F27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80540"/>
    <w:multiLevelType w:val="hybridMultilevel"/>
    <w:tmpl w:val="4FB43814"/>
    <w:lvl w:ilvl="0" w:tplc="A454B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766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C02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86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9A5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EC1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48C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C62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A2F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CA5C01"/>
    <w:multiLevelType w:val="hybridMultilevel"/>
    <w:tmpl w:val="C1FED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505D4"/>
    <w:multiLevelType w:val="hybridMultilevel"/>
    <w:tmpl w:val="A6663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AA"/>
    <w:rsid w:val="00385DEB"/>
    <w:rsid w:val="004114AA"/>
    <w:rsid w:val="00427655"/>
    <w:rsid w:val="007A5F44"/>
    <w:rsid w:val="00870427"/>
    <w:rsid w:val="00B33F9D"/>
    <w:rsid w:val="00BB3D0A"/>
    <w:rsid w:val="00DB578B"/>
    <w:rsid w:val="00E77F38"/>
    <w:rsid w:val="00F136AD"/>
    <w:rsid w:val="00F25755"/>
    <w:rsid w:val="00F27122"/>
    <w:rsid w:val="00F3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C713D"/>
  <w15:chartTrackingRefBased/>
  <w15:docId w15:val="{D4041759-7765-476E-A1DF-2994427E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11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77F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3D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8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0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7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57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tthew.mishkind@cuanschutz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Mishkind, Matthew</dc:creator>
  <cp:keywords/>
  <dc:description/>
  <cp:lastModifiedBy>Mishkind, Matthew</cp:lastModifiedBy>
  <cp:revision>3</cp:revision>
  <dcterms:created xsi:type="dcterms:W3CDTF">2021-07-30T13:30:00Z</dcterms:created>
  <dcterms:modified xsi:type="dcterms:W3CDTF">2021-07-30T13:31:00Z</dcterms:modified>
</cp:coreProperties>
</file>