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FB69" w14:textId="77777777" w:rsidR="008F588F" w:rsidRPr="0017269D" w:rsidRDefault="008F588F" w:rsidP="00C84763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17269D">
        <w:rPr>
          <w:rFonts w:ascii="Calibri Light" w:hAnsi="Calibri Light" w:cs="Calibri Light"/>
          <w:b/>
          <w:bCs/>
          <w:sz w:val="28"/>
          <w:szCs w:val="28"/>
          <w:u w:val="single"/>
        </w:rPr>
        <w:t>Certified Community Behavioral Health Clinics (CCBHC) Overview</w:t>
      </w:r>
    </w:p>
    <w:p w14:paraId="4A45E8FD" w14:textId="77777777" w:rsidR="00663430" w:rsidRPr="0017269D" w:rsidRDefault="00663430" w:rsidP="008F588F">
      <w:pPr>
        <w:rPr>
          <w:rFonts w:ascii="Calibri Light" w:hAnsi="Calibri Light" w:cs="Calibri Light"/>
          <w:sz w:val="22"/>
          <w:szCs w:val="22"/>
        </w:rPr>
      </w:pPr>
    </w:p>
    <w:p w14:paraId="636FCB6D" w14:textId="42382C04" w:rsidR="008F588F" w:rsidRPr="00C84763" w:rsidRDefault="008F588F" w:rsidP="008F588F">
      <w:pPr>
        <w:rPr>
          <w:rFonts w:asciiTheme="majorHAnsi" w:hAnsiTheme="majorHAnsi" w:cstheme="majorHAnsi"/>
          <w:sz w:val="22"/>
          <w:szCs w:val="22"/>
        </w:rPr>
      </w:pPr>
      <w:r w:rsidRPr="0017269D">
        <w:rPr>
          <w:rFonts w:ascii="Calibri Light" w:hAnsi="Calibri Light" w:cs="Calibri Light"/>
          <w:sz w:val="22"/>
          <w:szCs w:val="22"/>
        </w:rPr>
        <w:t>CCBHCs, first introduced federally under Section 223 of the Protecting Access to Medicare Act (PAMA) of 2014 (Public Law 113-93), provide a robust range of mental health and substance use disorder (SUD) services to vulnerable individuals</w:t>
      </w:r>
      <w:r w:rsidRPr="00C84763">
        <w:rPr>
          <w:rFonts w:asciiTheme="majorHAnsi" w:hAnsiTheme="majorHAnsi" w:cstheme="majorHAnsi"/>
          <w:sz w:val="22"/>
          <w:szCs w:val="22"/>
        </w:rPr>
        <w:t xml:space="preserve">. National research has found that since the advent of the demonstration </w:t>
      </w:r>
      <w:r w:rsidR="0017269D">
        <w:rPr>
          <w:rFonts w:asciiTheme="majorHAnsi" w:hAnsiTheme="majorHAnsi" w:cstheme="majorHAnsi"/>
          <w:sz w:val="22"/>
          <w:szCs w:val="22"/>
        </w:rPr>
        <w:t xml:space="preserve">program </w:t>
      </w:r>
      <w:r w:rsidRPr="00C84763">
        <w:rPr>
          <w:rFonts w:asciiTheme="majorHAnsi" w:hAnsiTheme="majorHAnsi" w:cstheme="majorHAnsi"/>
          <w:sz w:val="22"/>
          <w:szCs w:val="22"/>
        </w:rPr>
        <w:t xml:space="preserve">CCBHCs have dramatically increased access to mental health and </w:t>
      </w:r>
      <w:r w:rsidR="00B35AEB">
        <w:rPr>
          <w:rFonts w:asciiTheme="majorHAnsi" w:hAnsiTheme="majorHAnsi" w:cstheme="majorHAnsi"/>
          <w:sz w:val="22"/>
          <w:szCs w:val="22"/>
        </w:rPr>
        <w:t>SUD</w:t>
      </w:r>
      <w:r w:rsidRPr="00C84763">
        <w:rPr>
          <w:rFonts w:asciiTheme="majorHAnsi" w:hAnsiTheme="majorHAnsi" w:cstheme="majorHAnsi"/>
          <w:sz w:val="22"/>
          <w:szCs w:val="22"/>
        </w:rPr>
        <w:t xml:space="preserve"> treatment, supported behavioral health provider workforce development, expanded capacity to address the opioid crisis and other SUDs, </w:t>
      </w:r>
      <w:r w:rsidR="00B35AEB">
        <w:rPr>
          <w:rFonts w:asciiTheme="majorHAnsi" w:hAnsiTheme="majorHAnsi" w:cstheme="majorHAnsi"/>
          <w:sz w:val="22"/>
          <w:szCs w:val="22"/>
        </w:rPr>
        <w:t xml:space="preserve">and </w:t>
      </w:r>
      <w:r w:rsidRPr="00C84763">
        <w:rPr>
          <w:rFonts w:asciiTheme="majorHAnsi" w:hAnsiTheme="majorHAnsi" w:cstheme="majorHAnsi"/>
          <w:sz w:val="22"/>
          <w:szCs w:val="22"/>
        </w:rPr>
        <w:t xml:space="preserve">established innovative partnerships with law enforcement and hospitals to improve care and reduce recidivism and readmissions. </w:t>
      </w:r>
    </w:p>
    <w:p w14:paraId="7446F0A0" w14:textId="77777777" w:rsidR="008F588F" w:rsidRPr="00C84763" w:rsidRDefault="008F588F" w:rsidP="008F588F">
      <w:pPr>
        <w:rPr>
          <w:rFonts w:asciiTheme="majorHAnsi" w:hAnsiTheme="majorHAnsi" w:cstheme="majorHAnsi"/>
          <w:sz w:val="22"/>
          <w:szCs w:val="22"/>
        </w:rPr>
      </w:pPr>
    </w:p>
    <w:p w14:paraId="7425B0CD" w14:textId="4CFB9D15" w:rsidR="008F588F" w:rsidRPr="00C84763" w:rsidRDefault="008F588F" w:rsidP="008F588F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Like federally qualified health centers, (FQHCs), CCBHCs are required to provide a federally defined array of services</w:t>
      </w:r>
      <w:r w:rsidR="00566F71">
        <w:rPr>
          <w:rFonts w:asciiTheme="majorHAnsi" w:hAnsiTheme="majorHAnsi" w:cstheme="majorHAnsi"/>
          <w:sz w:val="22"/>
          <w:szCs w:val="22"/>
        </w:rPr>
        <w:t xml:space="preserve">, </w:t>
      </w:r>
      <w:r w:rsidRPr="00C84763">
        <w:rPr>
          <w:rFonts w:asciiTheme="majorHAnsi" w:hAnsiTheme="majorHAnsi" w:cstheme="majorHAnsi"/>
          <w:sz w:val="22"/>
          <w:szCs w:val="22"/>
        </w:rPr>
        <w:t>with an emphasis on the utilization of evidence-based practices. These include:</w:t>
      </w:r>
    </w:p>
    <w:p w14:paraId="64FC8D66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Crisis mental health services including 24-hour mobile crisis teams, emergency crisis intervention and crisis stabilization </w:t>
      </w:r>
    </w:p>
    <w:p w14:paraId="47C975AB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Screening, assessment, and diagnosis </w:t>
      </w:r>
    </w:p>
    <w:p w14:paraId="16B40561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Patient-centered treatment planning</w:t>
      </w:r>
    </w:p>
    <w:p w14:paraId="133F0F11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Outpatient mental health and substance use disorder services </w:t>
      </w:r>
    </w:p>
    <w:p w14:paraId="7531B4D2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Primary care screening and monitoring</w:t>
      </w:r>
    </w:p>
    <w:p w14:paraId="0EF2DE98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Targeted case management</w:t>
      </w:r>
    </w:p>
    <w:p w14:paraId="16521BE7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Psychiatric rehabilitation services</w:t>
      </w:r>
    </w:p>
    <w:p w14:paraId="6705269C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Peer support services and family support services</w:t>
      </w:r>
    </w:p>
    <w:p w14:paraId="4BA729A1" w14:textId="77777777" w:rsidR="008F588F" w:rsidRPr="00C84763" w:rsidRDefault="008F588F" w:rsidP="008F588F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Services for members of the armed services and Veterans.</w:t>
      </w:r>
    </w:p>
    <w:p w14:paraId="709CDFE6" w14:textId="1B9C18AA" w:rsidR="00566F71" w:rsidRPr="00C84763" w:rsidRDefault="00566F71" w:rsidP="00566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Additionally, CCBHCs must</w:t>
      </w:r>
      <w:r w:rsidRPr="00C84763">
        <w:rPr>
          <w:rFonts w:asciiTheme="majorHAnsi" w:hAnsiTheme="majorHAnsi" w:cstheme="majorHAnsi"/>
          <w:sz w:val="22"/>
          <w:szCs w:val="22"/>
        </w:rPr>
        <w:t xml:space="preserve"> serve all clients regardless of ability to pay, and adhere to rigorous, uniform data collection requirements that demonstrate value. CCBHCs in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C84763">
        <w:rPr>
          <w:rFonts w:asciiTheme="majorHAnsi" w:hAnsiTheme="majorHAnsi" w:cstheme="majorHAnsi"/>
          <w:sz w:val="22"/>
          <w:szCs w:val="22"/>
        </w:rPr>
        <w:t xml:space="preserve">emonstration states receive an enhanced Medicaid reimbursement rate, while other CCBHC clinics </w:t>
      </w:r>
      <w:r>
        <w:rPr>
          <w:rFonts w:asciiTheme="majorHAnsi" w:hAnsiTheme="majorHAnsi" w:cstheme="majorHAnsi"/>
          <w:sz w:val="22"/>
          <w:szCs w:val="22"/>
        </w:rPr>
        <w:t>are</w:t>
      </w:r>
      <w:r w:rsidRPr="00C84763">
        <w:rPr>
          <w:rFonts w:asciiTheme="majorHAnsi" w:hAnsiTheme="majorHAnsi" w:cstheme="majorHAnsi"/>
          <w:sz w:val="22"/>
          <w:szCs w:val="22"/>
        </w:rPr>
        <w:t xml:space="preserve"> awarded </w:t>
      </w:r>
      <w:r>
        <w:rPr>
          <w:rFonts w:asciiTheme="majorHAnsi" w:hAnsiTheme="majorHAnsi" w:cstheme="majorHAnsi"/>
          <w:sz w:val="22"/>
          <w:szCs w:val="22"/>
        </w:rPr>
        <w:t xml:space="preserve">competitive </w:t>
      </w:r>
      <w:r w:rsidRPr="00C84763">
        <w:rPr>
          <w:rFonts w:asciiTheme="majorHAnsi" w:hAnsiTheme="majorHAnsi" w:cstheme="majorHAnsi"/>
          <w:sz w:val="22"/>
          <w:szCs w:val="22"/>
        </w:rPr>
        <w:t>grant funding through the Substance Abuse Mental Health Services Administration (SAMHSA). There are now 431 CCBHC sites nationwide.</w:t>
      </w:r>
    </w:p>
    <w:p w14:paraId="45E4ABBA" w14:textId="77777777" w:rsidR="00566F71" w:rsidRPr="00C84763" w:rsidRDefault="00566F71" w:rsidP="008F588F">
      <w:pPr>
        <w:rPr>
          <w:rFonts w:asciiTheme="majorHAnsi" w:hAnsiTheme="majorHAnsi" w:cstheme="majorHAnsi"/>
          <w:sz w:val="22"/>
          <w:szCs w:val="22"/>
        </w:rPr>
      </w:pPr>
    </w:p>
    <w:p w14:paraId="47D61CB8" w14:textId="27EC2D82" w:rsidR="008F588F" w:rsidRPr="00C84763" w:rsidRDefault="008F588F" w:rsidP="008F588F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While Colorado is not participating in the federal </w:t>
      </w:r>
      <w:r w:rsidR="00566F71">
        <w:rPr>
          <w:rFonts w:asciiTheme="majorHAnsi" w:hAnsiTheme="majorHAnsi" w:cstheme="majorHAnsi"/>
          <w:sz w:val="22"/>
          <w:szCs w:val="22"/>
        </w:rPr>
        <w:t>d</w:t>
      </w:r>
      <w:r w:rsidRPr="00C84763">
        <w:rPr>
          <w:rFonts w:asciiTheme="majorHAnsi" w:hAnsiTheme="majorHAnsi" w:cstheme="majorHAnsi"/>
          <w:sz w:val="22"/>
          <w:szCs w:val="22"/>
        </w:rPr>
        <w:t xml:space="preserve">emonstration, </w:t>
      </w:r>
      <w:r w:rsidR="00566F71">
        <w:rPr>
          <w:rFonts w:asciiTheme="majorHAnsi" w:hAnsiTheme="majorHAnsi" w:cstheme="majorHAnsi"/>
          <w:sz w:val="22"/>
          <w:szCs w:val="22"/>
        </w:rPr>
        <w:t>four</w:t>
      </w:r>
      <w:r w:rsidRPr="00C84763">
        <w:rPr>
          <w:rFonts w:asciiTheme="majorHAnsi" w:hAnsiTheme="majorHAnsi" w:cstheme="majorHAnsi"/>
          <w:sz w:val="22"/>
          <w:szCs w:val="22"/>
        </w:rPr>
        <w:t xml:space="preserve"> of the 17 community mental health centers in the state have been awarded SAMHSA CCBHC grant funds. These centers are leading the way towards statewide adoption of a model of care based on the federal demonstration, in exchange for an alternative payment methodology that better supports population health and value-based care.</w:t>
      </w:r>
    </w:p>
    <w:p w14:paraId="1C50FEFD" w14:textId="77777777" w:rsidR="008F588F" w:rsidRPr="00C84763" w:rsidRDefault="008F588F" w:rsidP="008F588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8F588F" w:rsidRPr="00C84763" w14:paraId="58B7C560" w14:textId="77777777" w:rsidTr="00E83ECA">
        <w:tc>
          <w:tcPr>
            <w:tcW w:w="5035" w:type="dxa"/>
          </w:tcPr>
          <w:p w14:paraId="7C18A7BD" w14:textId="77777777" w:rsidR="008F588F" w:rsidRPr="00C84763" w:rsidRDefault="008F588F" w:rsidP="00E83EC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Community Mental Health Center</w:t>
            </w:r>
          </w:p>
        </w:tc>
        <w:tc>
          <w:tcPr>
            <w:tcW w:w="5035" w:type="dxa"/>
          </w:tcPr>
          <w:p w14:paraId="58E80940" w14:textId="77777777" w:rsidR="008F588F" w:rsidRPr="00C84763" w:rsidRDefault="008F588F" w:rsidP="00E83EC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RAE Region</w:t>
            </w:r>
          </w:p>
        </w:tc>
      </w:tr>
      <w:tr w:rsidR="008F588F" w:rsidRPr="00C84763" w14:paraId="61CAAB69" w14:textId="77777777" w:rsidTr="00E83ECA">
        <w:tc>
          <w:tcPr>
            <w:tcW w:w="5035" w:type="dxa"/>
          </w:tcPr>
          <w:p w14:paraId="1D1BC7A6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Aurora Mental Health Center</w:t>
            </w:r>
          </w:p>
        </w:tc>
        <w:tc>
          <w:tcPr>
            <w:tcW w:w="5035" w:type="dxa"/>
          </w:tcPr>
          <w:p w14:paraId="4DC6E1A1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Region 3, Colorado Access</w:t>
            </w:r>
          </w:p>
        </w:tc>
      </w:tr>
      <w:tr w:rsidR="008F588F" w:rsidRPr="00C84763" w14:paraId="1C32A001" w14:textId="77777777" w:rsidTr="00E83ECA">
        <w:tc>
          <w:tcPr>
            <w:tcW w:w="5035" w:type="dxa"/>
          </w:tcPr>
          <w:p w14:paraId="371ED7C0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Mental Health Partners</w:t>
            </w:r>
          </w:p>
        </w:tc>
        <w:tc>
          <w:tcPr>
            <w:tcW w:w="5035" w:type="dxa"/>
          </w:tcPr>
          <w:p w14:paraId="3547BD36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Region 6, CCHA</w:t>
            </w:r>
          </w:p>
        </w:tc>
      </w:tr>
      <w:tr w:rsidR="008F588F" w:rsidRPr="00C84763" w14:paraId="2A53D6E4" w14:textId="77777777" w:rsidTr="00E83ECA">
        <w:tc>
          <w:tcPr>
            <w:tcW w:w="5035" w:type="dxa"/>
          </w:tcPr>
          <w:p w14:paraId="5D31029B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North Range Behavioral Health</w:t>
            </w:r>
          </w:p>
        </w:tc>
        <w:tc>
          <w:tcPr>
            <w:tcW w:w="5035" w:type="dxa"/>
          </w:tcPr>
          <w:p w14:paraId="3C3DCFA6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Region 2, Northeast Health Partners</w:t>
            </w:r>
          </w:p>
        </w:tc>
      </w:tr>
      <w:tr w:rsidR="008F588F" w:rsidRPr="00C84763" w14:paraId="190BB91B" w14:textId="77777777" w:rsidTr="00E83ECA">
        <w:tc>
          <w:tcPr>
            <w:tcW w:w="5035" w:type="dxa"/>
          </w:tcPr>
          <w:p w14:paraId="6D67BC85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Southeast Health Group</w:t>
            </w:r>
          </w:p>
        </w:tc>
        <w:tc>
          <w:tcPr>
            <w:tcW w:w="5035" w:type="dxa"/>
          </w:tcPr>
          <w:p w14:paraId="3FB83666" w14:textId="77777777" w:rsidR="008F588F" w:rsidRPr="00C84763" w:rsidRDefault="008F588F" w:rsidP="00E83E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4763">
              <w:rPr>
                <w:rFonts w:asciiTheme="majorHAnsi" w:hAnsiTheme="majorHAnsi" w:cstheme="majorHAnsi"/>
                <w:sz w:val="22"/>
                <w:szCs w:val="22"/>
              </w:rPr>
              <w:t>Region 4, Health Colorado</w:t>
            </w:r>
          </w:p>
        </w:tc>
      </w:tr>
    </w:tbl>
    <w:p w14:paraId="5FC5FFED" w14:textId="77777777" w:rsidR="00663430" w:rsidRPr="00C84763" w:rsidRDefault="00663430" w:rsidP="008F588F">
      <w:pPr>
        <w:rPr>
          <w:rFonts w:asciiTheme="majorHAnsi" w:hAnsiTheme="majorHAnsi" w:cstheme="majorHAnsi"/>
          <w:sz w:val="22"/>
          <w:szCs w:val="22"/>
        </w:rPr>
      </w:pPr>
    </w:p>
    <w:p w14:paraId="71C8F04F" w14:textId="0879B1DB" w:rsidR="008F588F" w:rsidRPr="00C84763" w:rsidRDefault="00566F71" w:rsidP="008F588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</w:t>
      </w:r>
      <w:r w:rsidRPr="00C8476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four</w:t>
      </w:r>
      <w:r w:rsidR="008F588F" w:rsidRPr="00C84763">
        <w:rPr>
          <w:rFonts w:asciiTheme="majorHAnsi" w:hAnsiTheme="majorHAnsi" w:cstheme="majorHAnsi"/>
          <w:sz w:val="22"/>
          <w:szCs w:val="22"/>
        </w:rPr>
        <w:t xml:space="preserve"> centers are </w:t>
      </w:r>
      <w:r w:rsidR="00A129C7" w:rsidRPr="00C84763">
        <w:rPr>
          <w:rFonts w:asciiTheme="majorHAnsi" w:hAnsiTheme="majorHAnsi" w:cstheme="majorHAnsi"/>
          <w:sz w:val="22"/>
          <w:szCs w:val="22"/>
        </w:rPr>
        <w:t>participating in the CCBHC Learning Collaborative</w:t>
      </w:r>
      <w:r>
        <w:rPr>
          <w:rFonts w:asciiTheme="majorHAnsi" w:hAnsiTheme="majorHAnsi" w:cstheme="majorHAnsi"/>
          <w:sz w:val="22"/>
          <w:szCs w:val="22"/>
        </w:rPr>
        <w:t xml:space="preserve"> (the Collaborative)</w:t>
      </w:r>
      <w:r w:rsidR="00A129C7" w:rsidRPr="00C84763">
        <w:rPr>
          <w:rFonts w:asciiTheme="majorHAnsi" w:hAnsiTheme="majorHAnsi" w:cstheme="majorHAnsi"/>
          <w:sz w:val="22"/>
          <w:szCs w:val="22"/>
        </w:rPr>
        <w:t>, which is facilitated by Third Horizon Strategies (THS) under</w:t>
      </w:r>
      <w:r>
        <w:rPr>
          <w:rFonts w:asciiTheme="majorHAnsi" w:hAnsiTheme="majorHAnsi" w:cstheme="majorHAnsi"/>
          <w:sz w:val="22"/>
          <w:szCs w:val="22"/>
        </w:rPr>
        <w:t xml:space="preserve"> a</w:t>
      </w:r>
      <w:r w:rsidR="00A129C7" w:rsidRPr="00C84763">
        <w:rPr>
          <w:rFonts w:asciiTheme="majorHAnsi" w:hAnsiTheme="majorHAnsi" w:cstheme="majorHAnsi"/>
          <w:sz w:val="22"/>
          <w:szCs w:val="22"/>
        </w:rPr>
        <w:t xml:space="preserve"> contract with Colorado Behavioral Healthcare </w:t>
      </w:r>
      <w:r w:rsidR="00A129C7" w:rsidRPr="00C84763">
        <w:rPr>
          <w:rFonts w:asciiTheme="majorHAnsi" w:hAnsiTheme="majorHAnsi" w:cstheme="majorHAnsi"/>
          <w:sz w:val="22"/>
          <w:szCs w:val="22"/>
        </w:rPr>
        <w:lastRenderedPageBreak/>
        <w:t xml:space="preserve">Council. The Collaborative convenes monthly to share best practices and lessons learned, and to collectively problem solve. Members also receive individualized leadership and strategy coaching monthly from THS. </w:t>
      </w:r>
    </w:p>
    <w:p w14:paraId="3D7D23CE" w14:textId="04D35FF2" w:rsidR="00A129C7" w:rsidRPr="00C84763" w:rsidRDefault="00A129C7" w:rsidP="008F588F">
      <w:pPr>
        <w:rPr>
          <w:rFonts w:asciiTheme="majorHAnsi" w:hAnsiTheme="majorHAnsi" w:cstheme="majorHAnsi"/>
          <w:sz w:val="22"/>
          <w:szCs w:val="22"/>
        </w:rPr>
      </w:pPr>
    </w:p>
    <w:p w14:paraId="7DCB8D65" w14:textId="3FA8CE97" w:rsidR="00D06B60" w:rsidRPr="00C84763" w:rsidRDefault="00623979" w:rsidP="00623979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CCBHC funding is enabling each of the </w:t>
      </w:r>
      <w:r w:rsidR="00566F71">
        <w:rPr>
          <w:rFonts w:asciiTheme="majorHAnsi" w:hAnsiTheme="majorHAnsi" w:cstheme="majorHAnsi"/>
          <w:sz w:val="22"/>
          <w:szCs w:val="22"/>
        </w:rPr>
        <w:t>four</w:t>
      </w:r>
      <w:r w:rsidRPr="00C84763">
        <w:rPr>
          <w:rFonts w:asciiTheme="majorHAnsi" w:hAnsiTheme="majorHAnsi" w:cstheme="majorHAnsi"/>
          <w:sz w:val="22"/>
          <w:szCs w:val="22"/>
        </w:rPr>
        <w:t xml:space="preserve"> centers to expand access to care in their local communities and enhance their service delivery and quality improvement. Some notable achievements to date include:</w:t>
      </w:r>
    </w:p>
    <w:p w14:paraId="7C69F940" w14:textId="2A32BC2D" w:rsidR="006864B3" w:rsidRPr="00872477" w:rsidRDefault="006864B3" w:rsidP="006864B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872477">
        <w:rPr>
          <w:rFonts w:asciiTheme="majorHAnsi" w:hAnsiTheme="majorHAnsi" w:cstheme="majorHAnsi"/>
          <w:sz w:val="22"/>
          <w:szCs w:val="22"/>
        </w:rPr>
        <w:t xml:space="preserve">Southeast Health Group developed community-specific programs, including specialized services for Veterans through the six county Veterans Services Officers. They have also focused outreach for agricultural communities through their local Ag Advisory Council.  </w:t>
      </w:r>
      <w:r w:rsidR="00872477">
        <w:rPr>
          <w:rFonts w:asciiTheme="majorHAnsi" w:hAnsiTheme="majorHAnsi" w:cstheme="majorHAnsi"/>
          <w:sz w:val="22"/>
          <w:szCs w:val="22"/>
        </w:rPr>
        <w:t>In addition, t</w:t>
      </w:r>
      <w:r w:rsidRPr="00872477">
        <w:rPr>
          <w:rFonts w:asciiTheme="majorHAnsi" w:hAnsiTheme="majorHAnsi" w:cstheme="majorHAnsi"/>
          <w:sz w:val="22"/>
          <w:szCs w:val="22"/>
        </w:rPr>
        <w:t>hey have expanded cultural competency throughout the organization</w:t>
      </w:r>
      <w:r w:rsidR="00872477">
        <w:rPr>
          <w:rFonts w:asciiTheme="majorHAnsi" w:hAnsiTheme="majorHAnsi" w:cstheme="majorHAnsi"/>
          <w:sz w:val="22"/>
          <w:szCs w:val="22"/>
        </w:rPr>
        <w:t xml:space="preserve"> by augmenting training for all staff.</w:t>
      </w:r>
    </w:p>
    <w:p w14:paraId="7C1F44A4" w14:textId="11FAECB2" w:rsidR="00BE7650" w:rsidRPr="00FF3C20" w:rsidRDefault="00623979" w:rsidP="00FF3C20">
      <w:pPr>
        <w:pStyle w:val="ListParagraph"/>
        <w:numPr>
          <w:ilvl w:val="0"/>
          <w:numId w:val="9"/>
        </w:numPr>
      </w:pPr>
      <w:r w:rsidRPr="00FF3C20">
        <w:rPr>
          <w:rFonts w:asciiTheme="majorHAnsi" w:hAnsiTheme="majorHAnsi" w:cstheme="majorHAnsi"/>
          <w:sz w:val="22"/>
          <w:szCs w:val="22"/>
        </w:rPr>
        <w:t xml:space="preserve">Mental Health Partners </w:t>
      </w:r>
      <w:r w:rsidR="00FF3C20" w:rsidRPr="00FF3C20">
        <w:rPr>
          <w:rFonts w:ascii="Calibri Light" w:hAnsi="Calibri Light" w:cs="Calibri Light"/>
          <w:sz w:val="22"/>
          <w:szCs w:val="22"/>
        </w:rPr>
        <w:t>strengthened their continuum of care by implementing new intensive outpatient programs, expanding integrated care programs, and creating a</w:t>
      </w:r>
      <w:r w:rsidRPr="00FF3C20">
        <w:rPr>
          <w:rFonts w:asciiTheme="majorHAnsi" w:hAnsiTheme="majorHAnsi" w:cstheme="majorHAnsi"/>
          <w:sz w:val="22"/>
          <w:szCs w:val="22"/>
        </w:rPr>
        <w:t xml:space="preserve"> Community Health Worker</w:t>
      </w:r>
      <w:r w:rsidR="00566F71" w:rsidRPr="00FF3C20">
        <w:rPr>
          <w:rFonts w:asciiTheme="majorHAnsi" w:hAnsiTheme="majorHAnsi" w:cstheme="majorHAnsi"/>
          <w:sz w:val="22"/>
          <w:szCs w:val="22"/>
        </w:rPr>
        <w:t xml:space="preserve"> (CHW)</w:t>
      </w:r>
      <w:r w:rsidRPr="00FF3C20">
        <w:rPr>
          <w:rFonts w:asciiTheme="majorHAnsi" w:hAnsiTheme="majorHAnsi" w:cstheme="majorHAnsi"/>
          <w:sz w:val="22"/>
          <w:szCs w:val="22"/>
        </w:rPr>
        <w:t xml:space="preserve"> program. CHWs conduct proactive outreach to engage current and new clients in care and assist them in accessing other needed community supports.</w:t>
      </w:r>
      <w:r w:rsidR="00BE7650" w:rsidRPr="00FF3C20">
        <w:rPr>
          <w:rFonts w:asciiTheme="majorHAnsi" w:hAnsiTheme="majorHAnsi" w:cstheme="majorHAnsi"/>
          <w:sz w:val="22"/>
          <w:szCs w:val="22"/>
        </w:rPr>
        <w:t xml:space="preserve"> Read more here: </w:t>
      </w:r>
      <w:hyperlink r:id="rId7" w:history="1">
        <w:r w:rsidR="00BE7650" w:rsidRPr="00FF3C20">
          <w:rPr>
            <w:rStyle w:val="Hyperlink"/>
            <w:rFonts w:asciiTheme="majorHAnsi" w:hAnsiTheme="majorHAnsi" w:cstheme="majorHAnsi"/>
            <w:sz w:val="22"/>
            <w:szCs w:val="22"/>
          </w:rPr>
          <w:t>https://www.mhpcolorado.org/community-health-workers/</w:t>
        </w:r>
      </w:hyperlink>
    </w:p>
    <w:p w14:paraId="672C3DBD" w14:textId="396CF90C" w:rsidR="00BE7650" w:rsidRPr="00BE7650" w:rsidRDefault="00566F71" w:rsidP="00BE7650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BE7650">
        <w:rPr>
          <w:rFonts w:asciiTheme="majorHAnsi" w:hAnsiTheme="majorHAnsi" w:cstheme="majorHAnsi"/>
          <w:color w:val="000000"/>
          <w:sz w:val="22"/>
          <w:szCs w:val="22"/>
        </w:rPr>
        <w:t>M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ental Health Partners </w:t>
      </w:r>
      <w:r w:rsidR="00BE7650" w:rsidRPr="00BE7650">
        <w:rPr>
          <w:rFonts w:asciiTheme="majorHAnsi" w:hAnsiTheme="majorHAnsi" w:cstheme="majorHAnsi"/>
          <w:color w:val="000000"/>
          <w:sz w:val="22"/>
          <w:szCs w:val="22"/>
        </w:rPr>
        <w:t xml:space="preserve">has begun statistical analyses of behavioral health outcomes using the National Outcome Measures set (NOMS). In </w:t>
      </w:r>
      <w:r w:rsidR="00FF3C20">
        <w:rPr>
          <w:rFonts w:asciiTheme="majorHAnsi" w:hAnsiTheme="majorHAnsi" w:cstheme="majorHAnsi"/>
          <w:color w:val="000000"/>
          <w:sz w:val="22"/>
          <w:szCs w:val="22"/>
        </w:rPr>
        <w:t>an</w:t>
      </w:r>
      <w:r w:rsidR="00BE7650" w:rsidRPr="00BE7650">
        <w:rPr>
          <w:rFonts w:asciiTheme="majorHAnsi" w:hAnsiTheme="majorHAnsi" w:cstheme="majorHAnsi"/>
          <w:color w:val="000000"/>
          <w:sz w:val="22"/>
          <w:szCs w:val="22"/>
        </w:rPr>
        <w:t xml:space="preserve"> initial analysis</w:t>
      </w:r>
      <w:r w:rsidR="00FF3C2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BE7650" w:rsidRPr="00BE7650">
        <w:rPr>
          <w:rFonts w:asciiTheme="majorHAnsi" w:hAnsiTheme="majorHAnsi" w:cstheme="majorHAnsi"/>
          <w:color w:val="000000"/>
          <w:sz w:val="22"/>
          <w:szCs w:val="22"/>
        </w:rPr>
        <w:t>54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percent</w:t>
      </w:r>
      <w:r w:rsidR="00BE7650" w:rsidRPr="00BE765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F3C20">
        <w:rPr>
          <w:rFonts w:asciiTheme="majorHAnsi" w:hAnsiTheme="majorHAnsi" w:cstheme="majorHAnsi"/>
          <w:color w:val="000000"/>
          <w:sz w:val="22"/>
          <w:szCs w:val="22"/>
        </w:rPr>
        <w:t xml:space="preserve">of clients </w:t>
      </w:r>
      <w:r w:rsidR="00BE7650" w:rsidRPr="00BE7650">
        <w:rPr>
          <w:rFonts w:asciiTheme="majorHAnsi" w:hAnsiTheme="majorHAnsi" w:cstheme="majorHAnsi"/>
          <w:color w:val="000000"/>
          <w:sz w:val="22"/>
          <w:szCs w:val="22"/>
        </w:rPr>
        <w:t xml:space="preserve">experienced a decrease in psychiatric distress. Analyses revealed a statistically significant reduction in psychiatric distress scores overall, with a small but notable effect size which indicates that this decrease is not simply due to chance (p&lt;0.0003, d=0.2205). </w:t>
      </w:r>
    </w:p>
    <w:p w14:paraId="6768595C" w14:textId="277DF666" w:rsidR="00623979" w:rsidRDefault="00623979" w:rsidP="00BE765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BE7650">
        <w:rPr>
          <w:rFonts w:asciiTheme="majorHAnsi" w:hAnsiTheme="majorHAnsi" w:cstheme="majorHAnsi"/>
          <w:sz w:val="22"/>
          <w:szCs w:val="22"/>
        </w:rPr>
        <w:t xml:space="preserve">Aurora Mental Health Center is </w:t>
      </w:r>
      <w:r w:rsidR="00566F71">
        <w:rPr>
          <w:rFonts w:asciiTheme="majorHAnsi" w:hAnsiTheme="majorHAnsi" w:cstheme="majorHAnsi"/>
          <w:sz w:val="22"/>
          <w:szCs w:val="22"/>
        </w:rPr>
        <w:t>expanding their</w:t>
      </w:r>
      <w:r w:rsidRPr="00BE7650">
        <w:rPr>
          <w:rFonts w:asciiTheme="majorHAnsi" w:hAnsiTheme="majorHAnsi" w:cstheme="majorHAnsi"/>
          <w:sz w:val="22"/>
          <w:szCs w:val="22"/>
        </w:rPr>
        <w:t xml:space="preserve"> new employee orientation and employee training program that focuses on trauma-informed, </w:t>
      </w:r>
      <w:r w:rsidR="0017269D">
        <w:rPr>
          <w:rFonts w:asciiTheme="majorHAnsi" w:hAnsiTheme="majorHAnsi" w:cstheme="majorHAnsi"/>
          <w:sz w:val="22"/>
          <w:szCs w:val="22"/>
        </w:rPr>
        <w:t xml:space="preserve">culturally responsive </w:t>
      </w:r>
      <w:r w:rsidRPr="00BE7650">
        <w:rPr>
          <w:rFonts w:asciiTheme="majorHAnsi" w:hAnsiTheme="majorHAnsi" w:cstheme="majorHAnsi"/>
          <w:sz w:val="22"/>
          <w:szCs w:val="22"/>
        </w:rPr>
        <w:t>person-centered care</w:t>
      </w:r>
      <w:r w:rsidR="0017269D">
        <w:rPr>
          <w:rFonts w:asciiTheme="majorHAnsi" w:hAnsiTheme="majorHAnsi" w:cstheme="majorHAnsi"/>
          <w:sz w:val="22"/>
          <w:szCs w:val="22"/>
        </w:rPr>
        <w:t>, as well as developing additional training to increase SUD capacity and expertise</w:t>
      </w:r>
      <w:r w:rsidRPr="00BE7650">
        <w:rPr>
          <w:rFonts w:asciiTheme="majorHAnsi" w:hAnsiTheme="majorHAnsi" w:cstheme="majorHAnsi"/>
          <w:sz w:val="22"/>
          <w:szCs w:val="22"/>
        </w:rPr>
        <w:t>.</w:t>
      </w:r>
    </w:p>
    <w:p w14:paraId="209E0B46" w14:textId="5A38D475" w:rsidR="00112204" w:rsidRPr="00112204" w:rsidRDefault="00112204" w:rsidP="00112204">
      <w:pPr>
        <w:numPr>
          <w:ilvl w:val="0"/>
          <w:numId w:val="9"/>
        </w:numPr>
        <w:rPr>
          <w:color w:val="000000"/>
        </w:rPr>
      </w:pPr>
      <w:r w:rsidRPr="00112204">
        <w:rPr>
          <w:rFonts w:ascii="Calibri Light" w:hAnsi="Calibri Light" w:cs="Calibri Light"/>
          <w:color w:val="000000"/>
          <w:sz w:val="22"/>
          <w:szCs w:val="22"/>
        </w:rPr>
        <w:t>North Range Behavioral Health is working to increase same day access to care and enhance services for underserved populations. They are also increasing center-wide data collection and quality improvement efforts and will utilize the National Outcome Measures Scale (NOMS) for all new clients.</w:t>
      </w:r>
    </w:p>
    <w:p w14:paraId="74BD4E19" w14:textId="4A80B550" w:rsidR="00663430" w:rsidRPr="00C84763" w:rsidRDefault="00663430" w:rsidP="00663430">
      <w:pPr>
        <w:jc w:val="center"/>
        <w:rPr>
          <w:rFonts w:asciiTheme="majorHAnsi" w:hAnsiTheme="majorHAnsi" w:cstheme="majorHAnsi"/>
          <w:sz w:val="22"/>
          <w:szCs w:val="22"/>
          <w:u w:val="single"/>
        </w:rPr>
      </w:pPr>
    </w:p>
    <w:p w14:paraId="46B892BB" w14:textId="3FDB4D38" w:rsidR="00663430" w:rsidRPr="00C84763" w:rsidRDefault="00663430" w:rsidP="00663430">
      <w:pPr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C84763">
        <w:rPr>
          <w:rFonts w:asciiTheme="majorHAnsi" w:hAnsiTheme="majorHAnsi" w:cstheme="majorHAnsi"/>
          <w:b/>
          <w:bCs/>
          <w:sz w:val="22"/>
          <w:szCs w:val="22"/>
          <w:u w:val="single"/>
        </w:rPr>
        <w:t>Additional Information and Resources</w:t>
      </w:r>
    </w:p>
    <w:p w14:paraId="5B2E3801" w14:textId="17277654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5FF32092" w14:textId="415B9C90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CCBHC Criteria: </w:t>
      </w:r>
      <w:hyperlink r:id="rId8" w:history="1">
        <w:r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https://www.samhsa.gov/sites/default/files/programs_campaigns/ccbhc-criteria.pdf</w:t>
        </w:r>
      </w:hyperlink>
    </w:p>
    <w:p w14:paraId="72922430" w14:textId="6B834A82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</w:p>
    <w:p w14:paraId="26CE4DD8" w14:textId="658D8234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FY 2021 CCBHC Grants: </w:t>
      </w:r>
      <w:hyperlink r:id="rId9" w:history="1">
        <w:r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https://www.samhsa.gov/grants/grant-announcements-2021</w:t>
        </w:r>
      </w:hyperlink>
    </w:p>
    <w:p w14:paraId="276FFF12" w14:textId="00C8FCC8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</w:p>
    <w:p w14:paraId="399629BF" w14:textId="6F22B21A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>National Council for Mental Well Being 2021 CCBHC Impact Report:</w:t>
      </w:r>
    </w:p>
    <w:p w14:paraId="2117908D" w14:textId="6CDE38F3" w:rsidR="00663430" w:rsidRPr="00C84763" w:rsidRDefault="002F6E4F" w:rsidP="00663430">
      <w:pPr>
        <w:rPr>
          <w:rFonts w:asciiTheme="majorHAnsi" w:hAnsiTheme="majorHAnsi" w:cstheme="majorHAnsi"/>
          <w:sz w:val="22"/>
          <w:szCs w:val="22"/>
        </w:rPr>
      </w:pPr>
      <w:hyperlink r:id="rId10" w:history="1">
        <w:r w:rsidR="00663430"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https://www.thenationalcouncil.org/wp-content/uploads/2021/05/052421_CCBHC_ImpactReport_2021_Final.pdf?daf=375ateTbd56</w:t>
        </w:r>
      </w:hyperlink>
    </w:p>
    <w:p w14:paraId="0D35E69E" w14:textId="243BB4B2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</w:p>
    <w:p w14:paraId="5A7592A8" w14:textId="5E810A28" w:rsidR="00663430" w:rsidRPr="00C84763" w:rsidRDefault="00663430" w:rsidP="00663430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GAO 2021 CCBHC Report to Congress: </w:t>
      </w:r>
      <w:hyperlink r:id="rId11" w:history="1">
        <w:r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https://www.gao.gov/assets/gao-21-394.pdf</w:t>
        </w:r>
      </w:hyperlink>
    </w:p>
    <w:p w14:paraId="663A725B" w14:textId="77777777" w:rsidR="00C84763" w:rsidRPr="00C84763" w:rsidRDefault="00C84763" w:rsidP="00663430">
      <w:pPr>
        <w:pBdr>
          <w:bottom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36FC660E" w14:textId="77777777" w:rsidR="00C84763" w:rsidRDefault="00C84763" w:rsidP="00C84763">
      <w:pPr>
        <w:rPr>
          <w:rFonts w:asciiTheme="majorHAnsi" w:hAnsiTheme="majorHAnsi" w:cstheme="majorHAnsi"/>
          <w:sz w:val="22"/>
          <w:szCs w:val="22"/>
        </w:rPr>
      </w:pPr>
    </w:p>
    <w:p w14:paraId="36D9A655" w14:textId="1673F09B" w:rsidR="00C84763" w:rsidRPr="00C84763" w:rsidRDefault="00C84763" w:rsidP="00C84763">
      <w:pPr>
        <w:rPr>
          <w:rFonts w:asciiTheme="majorHAnsi" w:hAnsiTheme="majorHAnsi" w:cstheme="majorHAnsi"/>
          <w:sz w:val="22"/>
          <w:szCs w:val="22"/>
        </w:rPr>
      </w:pPr>
      <w:r w:rsidRPr="00C84763">
        <w:rPr>
          <w:rFonts w:asciiTheme="majorHAnsi" w:hAnsiTheme="majorHAnsi" w:cstheme="majorHAnsi"/>
          <w:sz w:val="22"/>
          <w:szCs w:val="22"/>
        </w:rPr>
        <w:t xml:space="preserve">Third Horizon Strategies is a Chicago-based, boutique advisory firm focused on shaping a future system that actualizes a sustainable culture of health nationwide. The firm offers a 360º view of complex challenges across three horizons – past, present, and future– to help industry leaders and policymakers interpret signals and trends; design integrated systems; and enact changes so that all communities, families, and individuals can thrive. For more information visit </w:t>
      </w:r>
      <w:hyperlink r:id="rId12" w:history="1">
        <w:r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https://thirdhorizonstrategies.com</w:t>
        </w:r>
      </w:hyperlink>
      <w:r w:rsidRPr="00C84763">
        <w:rPr>
          <w:rFonts w:asciiTheme="majorHAnsi" w:hAnsiTheme="majorHAnsi" w:cstheme="majorHAnsi"/>
          <w:sz w:val="22"/>
          <w:szCs w:val="22"/>
        </w:rPr>
        <w:t xml:space="preserve"> or contact Mindy </w:t>
      </w:r>
      <w:proofErr w:type="spellStart"/>
      <w:r w:rsidRPr="00C84763">
        <w:rPr>
          <w:rFonts w:asciiTheme="majorHAnsi" w:hAnsiTheme="majorHAnsi" w:cstheme="majorHAnsi"/>
          <w:sz w:val="22"/>
          <w:szCs w:val="22"/>
        </w:rPr>
        <w:t>Klowden</w:t>
      </w:r>
      <w:proofErr w:type="spellEnd"/>
      <w:r w:rsidRPr="00C84763">
        <w:rPr>
          <w:rFonts w:asciiTheme="majorHAnsi" w:hAnsiTheme="majorHAnsi" w:cstheme="majorHAnsi"/>
          <w:sz w:val="22"/>
          <w:szCs w:val="22"/>
        </w:rPr>
        <w:t xml:space="preserve">, MNM, Senior Director at (303) 884-2670 or </w:t>
      </w:r>
      <w:hyperlink r:id="rId13" w:history="1">
        <w:r w:rsidRPr="00C84763">
          <w:rPr>
            <w:rStyle w:val="Hyperlink"/>
            <w:rFonts w:asciiTheme="majorHAnsi" w:hAnsiTheme="majorHAnsi" w:cstheme="majorHAnsi"/>
            <w:sz w:val="22"/>
            <w:szCs w:val="22"/>
          </w:rPr>
          <w:t>Mindy@thirdhorizonstrategies.com</w:t>
        </w:r>
      </w:hyperlink>
      <w:r w:rsidR="00566F71">
        <w:rPr>
          <w:rStyle w:val="Hyperlink"/>
          <w:rFonts w:asciiTheme="majorHAnsi" w:hAnsiTheme="majorHAnsi" w:cstheme="majorHAnsi"/>
          <w:sz w:val="22"/>
          <w:szCs w:val="22"/>
        </w:rPr>
        <w:t>.</w:t>
      </w:r>
    </w:p>
    <w:sectPr w:rsidR="00C84763" w:rsidRPr="00C84763" w:rsidSect="00663430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077" w14:textId="77777777" w:rsidR="002F6E4F" w:rsidRDefault="002F6E4F" w:rsidP="001B132B">
      <w:r>
        <w:separator/>
      </w:r>
    </w:p>
  </w:endnote>
  <w:endnote w:type="continuationSeparator" w:id="0">
    <w:p w14:paraId="4515083F" w14:textId="77777777" w:rsidR="002F6E4F" w:rsidRDefault="002F6E4F" w:rsidP="001B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3701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F1FD8D" w14:textId="4720E111" w:rsidR="001C1A49" w:rsidRDefault="001C1A49" w:rsidP="00E043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9B141" w14:textId="77777777" w:rsidR="001C1A49" w:rsidRDefault="001C1A49" w:rsidP="001C1A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20"/>
        <w:szCs w:val="20"/>
      </w:rPr>
      <w:id w:val="26203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5E104B" w14:textId="134D17B6" w:rsidR="001C1A49" w:rsidRPr="002B6A8B" w:rsidRDefault="001C1A49" w:rsidP="00E04374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2B6A8B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2B6A8B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2B6A8B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2B6A8B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2B6A8B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E1E02CB" w14:textId="49D263C0" w:rsidR="001C1A49" w:rsidRPr="002B6A8B" w:rsidRDefault="00566F71" w:rsidP="001C1A49">
    <w:pPr>
      <w:pStyle w:val="Footer"/>
      <w:ind w:right="360"/>
      <w:rPr>
        <w:rFonts w:asciiTheme="majorHAnsi" w:hAnsiTheme="majorHAnsi" w:cs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38F1E34" wp14:editId="24DE750E">
          <wp:simplePos x="0" y="0"/>
          <wp:positionH relativeFrom="column">
            <wp:posOffset>-184150</wp:posOffset>
          </wp:positionH>
          <wp:positionV relativeFrom="paragraph">
            <wp:posOffset>-151130</wp:posOffset>
          </wp:positionV>
          <wp:extent cx="645160" cy="334645"/>
          <wp:effectExtent l="0" t="0" r="2540" b="8255"/>
          <wp:wrapTight wrapText="bothSides">
            <wp:wrapPolygon edited="0">
              <wp:start x="1913" y="0"/>
              <wp:lineTo x="0" y="3689"/>
              <wp:lineTo x="0" y="18444"/>
              <wp:lineTo x="1913" y="20903"/>
              <wp:lineTo x="19134" y="20903"/>
              <wp:lineTo x="21047" y="18444"/>
              <wp:lineTo x="21047" y="3689"/>
              <wp:lineTo x="19134" y="0"/>
              <wp:lineTo x="1913" y="0"/>
            </wp:wrapPolygon>
          </wp:wrapTight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016" w14:textId="77777777" w:rsidR="002F6E4F" w:rsidRDefault="002F6E4F" w:rsidP="001B132B">
      <w:r>
        <w:separator/>
      </w:r>
    </w:p>
  </w:footnote>
  <w:footnote w:type="continuationSeparator" w:id="0">
    <w:p w14:paraId="15F30144" w14:textId="77777777" w:rsidR="002F6E4F" w:rsidRDefault="002F6E4F" w:rsidP="001B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1395" w14:textId="164671D3" w:rsidR="00964638" w:rsidRPr="00964638" w:rsidRDefault="008F588F" w:rsidP="00964638">
    <w:pPr>
      <w:pStyle w:val="Header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CCBHC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F808" w14:textId="396253D8" w:rsidR="00CC347B" w:rsidRDefault="00DF6EF4" w:rsidP="00DF6EF4">
    <w:pPr>
      <w:jc w:val="right"/>
      <w:rPr>
        <w:color w:val="184A89"/>
      </w:rPr>
    </w:pPr>
    <w:r>
      <w:rPr>
        <w:noProof/>
        <w:color w:val="184A89"/>
      </w:rPr>
      <w:drawing>
        <wp:inline distT="0" distB="0" distL="0" distR="0" wp14:anchorId="0C374F80" wp14:editId="11936DF9">
          <wp:extent cx="2029968" cy="1097280"/>
          <wp:effectExtent l="0" t="0" r="8890" b="762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7B">
      <w:rPr>
        <w:noProof/>
      </w:rPr>
      <w:drawing>
        <wp:anchor distT="0" distB="0" distL="114300" distR="114300" simplePos="0" relativeHeight="251662336" behindDoc="1" locked="0" layoutInCell="1" allowOverlap="1" wp14:anchorId="320C3188" wp14:editId="5FEEB55C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2112264" cy="1097280"/>
          <wp:effectExtent l="0" t="0" r="2540" b="7620"/>
          <wp:wrapTight wrapText="bothSides">
            <wp:wrapPolygon edited="0">
              <wp:start x="3702" y="0"/>
              <wp:lineTo x="2533" y="1125"/>
              <wp:lineTo x="584" y="4875"/>
              <wp:lineTo x="390" y="10125"/>
              <wp:lineTo x="3897" y="12000"/>
              <wp:lineTo x="0" y="12750"/>
              <wp:lineTo x="0" y="17250"/>
              <wp:lineTo x="3897" y="18750"/>
              <wp:lineTo x="3117" y="19125"/>
              <wp:lineTo x="3117" y="21375"/>
              <wp:lineTo x="18119" y="21375"/>
              <wp:lineTo x="18509" y="19125"/>
              <wp:lineTo x="17145" y="18750"/>
              <wp:lineTo x="21431" y="17250"/>
              <wp:lineTo x="21431" y="12750"/>
              <wp:lineTo x="16560" y="12000"/>
              <wp:lineTo x="21236" y="9375"/>
              <wp:lineTo x="21041" y="5250"/>
              <wp:lineTo x="18704" y="750"/>
              <wp:lineTo x="17729" y="0"/>
              <wp:lineTo x="37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450">
      <w:tab/>
      <w:t xml:space="preserve"> </w:t>
    </w:r>
  </w:p>
  <w:p w14:paraId="4BD306A1" w14:textId="77777777" w:rsidR="00CC347B" w:rsidRDefault="00CC347B" w:rsidP="002B6A8B">
    <w:pPr>
      <w:pStyle w:val="Header"/>
      <w:tabs>
        <w:tab w:val="clear" w:pos="4680"/>
        <w:tab w:val="center" w:pos="8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B6"/>
    <w:multiLevelType w:val="hybridMultilevel"/>
    <w:tmpl w:val="AEC2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2E35"/>
    <w:multiLevelType w:val="hybridMultilevel"/>
    <w:tmpl w:val="BA9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133"/>
    <w:multiLevelType w:val="hybridMultilevel"/>
    <w:tmpl w:val="7D0A5D6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482566CC"/>
    <w:multiLevelType w:val="hybridMultilevel"/>
    <w:tmpl w:val="BE6E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6F4E"/>
    <w:multiLevelType w:val="hybridMultilevel"/>
    <w:tmpl w:val="4F1A0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92CCB"/>
    <w:multiLevelType w:val="hybridMultilevel"/>
    <w:tmpl w:val="2CD0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A550E"/>
    <w:multiLevelType w:val="multilevel"/>
    <w:tmpl w:val="899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123F7A"/>
    <w:multiLevelType w:val="hybridMultilevel"/>
    <w:tmpl w:val="C1C2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63C40"/>
    <w:multiLevelType w:val="hybridMultilevel"/>
    <w:tmpl w:val="3188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D6E"/>
    <w:multiLevelType w:val="hybridMultilevel"/>
    <w:tmpl w:val="6960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2B"/>
    <w:rsid w:val="000017B5"/>
    <w:rsid w:val="00003D7A"/>
    <w:rsid w:val="000106B5"/>
    <w:rsid w:val="00011633"/>
    <w:rsid w:val="00014CDA"/>
    <w:rsid w:val="000154DC"/>
    <w:rsid w:val="00020A94"/>
    <w:rsid w:val="0003651D"/>
    <w:rsid w:val="000405BE"/>
    <w:rsid w:val="00041E5B"/>
    <w:rsid w:val="000438FD"/>
    <w:rsid w:val="00043E9D"/>
    <w:rsid w:val="000446E5"/>
    <w:rsid w:val="000471F6"/>
    <w:rsid w:val="00050502"/>
    <w:rsid w:val="000530B7"/>
    <w:rsid w:val="00054009"/>
    <w:rsid w:val="00056CD7"/>
    <w:rsid w:val="00061470"/>
    <w:rsid w:val="000637E6"/>
    <w:rsid w:val="0006584F"/>
    <w:rsid w:val="000712D7"/>
    <w:rsid w:val="00073E0B"/>
    <w:rsid w:val="000755A2"/>
    <w:rsid w:val="00080B27"/>
    <w:rsid w:val="000825B6"/>
    <w:rsid w:val="00082670"/>
    <w:rsid w:val="00083756"/>
    <w:rsid w:val="00086026"/>
    <w:rsid w:val="00091F0B"/>
    <w:rsid w:val="00094372"/>
    <w:rsid w:val="000945E0"/>
    <w:rsid w:val="00094D9D"/>
    <w:rsid w:val="000961FA"/>
    <w:rsid w:val="00096477"/>
    <w:rsid w:val="000A3B51"/>
    <w:rsid w:val="000A7E39"/>
    <w:rsid w:val="000C09C6"/>
    <w:rsid w:val="000C1292"/>
    <w:rsid w:val="000C1CFE"/>
    <w:rsid w:val="000C25CE"/>
    <w:rsid w:val="000C43D5"/>
    <w:rsid w:val="000C469A"/>
    <w:rsid w:val="000C7F39"/>
    <w:rsid w:val="000D0326"/>
    <w:rsid w:val="000D074A"/>
    <w:rsid w:val="000D0DB7"/>
    <w:rsid w:val="000D1548"/>
    <w:rsid w:val="000D663E"/>
    <w:rsid w:val="000E01FD"/>
    <w:rsid w:val="000E133F"/>
    <w:rsid w:val="000E3657"/>
    <w:rsid w:val="000E7055"/>
    <w:rsid w:val="000E7A63"/>
    <w:rsid w:val="000F046D"/>
    <w:rsid w:val="000F0EBA"/>
    <w:rsid w:val="000F14A7"/>
    <w:rsid w:val="000F1874"/>
    <w:rsid w:val="00105C4C"/>
    <w:rsid w:val="00111422"/>
    <w:rsid w:val="00112204"/>
    <w:rsid w:val="00120FE9"/>
    <w:rsid w:val="0012215F"/>
    <w:rsid w:val="00126C67"/>
    <w:rsid w:val="00141814"/>
    <w:rsid w:val="001428B4"/>
    <w:rsid w:val="00147CEB"/>
    <w:rsid w:val="001575D4"/>
    <w:rsid w:val="001641BC"/>
    <w:rsid w:val="00165EA4"/>
    <w:rsid w:val="0017269D"/>
    <w:rsid w:val="001762AD"/>
    <w:rsid w:val="001765AD"/>
    <w:rsid w:val="0018402E"/>
    <w:rsid w:val="0018510B"/>
    <w:rsid w:val="00187CE2"/>
    <w:rsid w:val="001962B1"/>
    <w:rsid w:val="001A166A"/>
    <w:rsid w:val="001A31BF"/>
    <w:rsid w:val="001B108A"/>
    <w:rsid w:val="001B132B"/>
    <w:rsid w:val="001B40B0"/>
    <w:rsid w:val="001B47C7"/>
    <w:rsid w:val="001C1A49"/>
    <w:rsid w:val="001C3EF0"/>
    <w:rsid w:val="001D0C02"/>
    <w:rsid w:val="001D2408"/>
    <w:rsid w:val="001D707D"/>
    <w:rsid w:val="001E01CB"/>
    <w:rsid w:val="001E0402"/>
    <w:rsid w:val="001E1354"/>
    <w:rsid w:val="001F746E"/>
    <w:rsid w:val="00200706"/>
    <w:rsid w:val="00201029"/>
    <w:rsid w:val="0020143E"/>
    <w:rsid w:val="00203918"/>
    <w:rsid w:val="00206149"/>
    <w:rsid w:val="00215E32"/>
    <w:rsid w:val="002202D8"/>
    <w:rsid w:val="0022441A"/>
    <w:rsid w:val="002260BB"/>
    <w:rsid w:val="00226B24"/>
    <w:rsid w:val="002311BB"/>
    <w:rsid w:val="00243311"/>
    <w:rsid w:val="00266315"/>
    <w:rsid w:val="00267C1B"/>
    <w:rsid w:val="002737A8"/>
    <w:rsid w:val="002741C4"/>
    <w:rsid w:val="00274C19"/>
    <w:rsid w:val="0028705C"/>
    <w:rsid w:val="0028714D"/>
    <w:rsid w:val="00290E77"/>
    <w:rsid w:val="0029788A"/>
    <w:rsid w:val="002B6A8B"/>
    <w:rsid w:val="002C6595"/>
    <w:rsid w:val="002D23F1"/>
    <w:rsid w:val="002D4BA6"/>
    <w:rsid w:val="002D7839"/>
    <w:rsid w:val="002E24B1"/>
    <w:rsid w:val="002E2EE0"/>
    <w:rsid w:val="002E6AE7"/>
    <w:rsid w:val="002E76E1"/>
    <w:rsid w:val="002F348C"/>
    <w:rsid w:val="002F6E4F"/>
    <w:rsid w:val="002F6E63"/>
    <w:rsid w:val="003011B8"/>
    <w:rsid w:val="00301C3F"/>
    <w:rsid w:val="00303E85"/>
    <w:rsid w:val="003133FD"/>
    <w:rsid w:val="003135C6"/>
    <w:rsid w:val="0031536A"/>
    <w:rsid w:val="00332388"/>
    <w:rsid w:val="00332D4E"/>
    <w:rsid w:val="003430A1"/>
    <w:rsid w:val="00353E71"/>
    <w:rsid w:val="00354ADB"/>
    <w:rsid w:val="003644AD"/>
    <w:rsid w:val="003723E4"/>
    <w:rsid w:val="00380115"/>
    <w:rsid w:val="00380EE7"/>
    <w:rsid w:val="0039143F"/>
    <w:rsid w:val="00392BE1"/>
    <w:rsid w:val="00392FA4"/>
    <w:rsid w:val="00395A75"/>
    <w:rsid w:val="003A077C"/>
    <w:rsid w:val="003A0AAE"/>
    <w:rsid w:val="003A202D"/>
    <w:rsid w:val="003A664C"/>
    <w:rsid w:val="003B0192"/>
    <w:rsid w:val="003B30C3"/>
    <w:rsid w:val="003B380D"/>
    <w:rsid w:val="003B4BDA"/>
    <w:rsid w:val="003C46CC"/>
    <w:rsid w:val="003D4150"/>
    <w:rsid w:val="003D7489"/>
    <w:rsid w:val="003D7F02"/>
    <w:rsid w:val="003E1483"/>
    <w:rsid w:val="003E1D23"/>
    <w:rsid w:val="003E226B"/>
    <w:rsid w:val="003E30D2"/>
    <w:rsid w:val="003F05E3"/>
    <w:rsid w:val="003F186B"/>
    <w:rsid w:val="004019A3"/>
    <w:rsid w:val="00414849"/>
    <w:rsid w:val="004159E1"/>
    <w:rsid w:val="00417CA5"/>
    <w:rsid w:val="00420C3D"/>
    <w:rsid w:val="0042189B"/>
    <w:rsid w:val="00433381"/>
    <w:rsid w:val="00433924"/>
    <w:rsid w:val="004403FF"/>
    <w:rsid w:val="00440800"/>
    <w:rsid w:val="00440FD4"/>
    <w:rsid w:val="00442C4C"/>
    <w:rsid w:val="00446700"/>
    <w:rsid w:val="00446763"/>
    <w:rsid w:val="004538D9"/>
    <w:rsid w:val="0045441A"/>
    <w:rsid w:val="004602EB"/>
    <w:rsid w:val="00464ADB"/>
    <w:rsid w:val="00467C68"/>
    <w:rsid w:val="00470574"/>
    <w:rsid w:val="004718FF"/>
    <w:rsid w:val="0047204C"/>
    <w:rsid w:val="00475E2C"/>
    <w:rsid w:val="00480B75"/>
    <w:rsid w:val="00484544"/>
    <w:rsid w:val="0048594C"/>
    <w:rsid w:val="00486E51"/>
    <w:rsid w:val="00490E88"/>
    <w:rsid w:val="00492AD8"/>
    <w:rsid w:val="00495C61"/>
    <w:rsid w:val="004B0EDC"/>
    <w:rsid w:val="004B1B33"/>
    <w:rsid w:val="004C3063"/>
    <w:rsid w:val="004C3836"/>
    <w:rsid w:val="004D1317"/>
    <w:rsid w:val="004D5C90"/>
    <w:rsid w:val="004F163D"/>
    <w:rsid w:val="004F7069"/>
    <w:rsid w:val="00500D1B"/>
    <w:rsid w:val="00503BD6"/>
    <w:rsid w:val="00504F18"/>
    <w:rsid w:val="0051117B"/>
    <w:rsid w:val="00520094"/>
    <w:rsid w:val="005218E7"/>
    <w:rsid w:val="0052191E"/>
    <w:rsid w:val="00527D71"/>
    <w:rsid w:val="005301B2"/>
    <w:rsid w:val="0053343F"/>
    <w:rsid w:val="0053450A"/>
    <w:rsid w:val="00540104"/>
    <w:rsid w:val="00543935"/>
    <w:rsid w:val="005469A4"/>
    <w:rsid w:val="0055114C"/>
    <w:rsid w:val="005609E8"/>
    <w:rsid w:val="00566F71"/>
    <w:rsid w:val="00567CCE"/>
    <w:rsid w:val="00574E55"/>
    <w:rsid w:val="0057566E"/>
    <w:rsid w:val="00582BC2"/>
    <w:rsid w:val="00584CCF"/>
    <w:rsid w:val="0058744E"/>
    <w:rsid w:val="00593502"/>
    <w:rsid w:val="00593FF1"/>
    <w:rsid w:val="005A382C"/>
    <w:rsid w:val="005A7459"/>
    <w:rsid w:val="005B3920"/>
    <w:rsid w:val="005B61CC"/>
    <w:rsid w:val="005B7429"/>
    <w:rsid w:val="005C4FDD"/>
    <w:rsid w:val="005C6DCF"/>
    <w:rsid w:val="005D124D"/>
    <w:rsid w:val="005D2C81"/>
    <w:rsid w:val="005D6978"/>
    <w:rsid w:val="005E0190"/>
    <w:rsid w:val="005E0AF5"/>
    <w:rsid w:val="005E274B"/>
    <w:rsid w:val="005E3602"/>
    <w:rsid w:val="005E5F2A"/>
    <w:rsid w:val="005F15E8"/>
    <w:rsid w:val="005F53E1"/>
    <w:rsid w:val="006023E0"/>
    <w:rsid w:val="00603E14"/>
    <w:rsid w:val="0061300E"/>
    <w:rsid w:val="0061666D"/>
    <w:rsid w:val="00617CC7"/>
    <w:rsid w:val="006222DB"/>
    <w:rsid w:val="00623979"/>
    <w:rsid w:val="006266EA"/>
    <w:rsid w:val="00631FAC"/>
    <w:rsid w:val="006338CC"/>
    <w:rsid w:val="006410A3"/>
    <w:rsid w:val="00645EBF"/>
    <w:rsid w:val="00661501"/>
    <w:rsid w:val="00663430"/>
    <w:rsid w:val="0066737A"/>
    <w:rsid w:val="006679C8"/>
    <w:rsid w:val="006714E0"/>
    <w:rsid w:val="006775E3"/>
    <w:rsid w:val="00680288"/>
    <w:rsid w:val="006864B3"/>
    <w:rsid w:val="00686A65"/>
    <w:rsid w:val="0068763F"/>
    <w:rsid w:val="0069008C"/>
    <w:rsid w:val="00694511"/>
    <w:rsid w:val="006945EB"/>
    <w:rsid w:val="00695EDE"/>
    <w:rsid w:val="006A197C"/>
    <w:rsid w:val="006A55DB"/>
    <w:rsid w:val="006A774A"/>
    <w:rsid w:val="006B1161"/>
    <w:rsid w:val="006B71E1"/>
    <w:rsid w:val="006D0E09"/>
    <w:rsid w:val="006D182A"/>
    <w:rsid w:val="006D199F"/>
    <w:rsid w:val="006D1B5A"/>
    <w:rsid w:val="006D492B"/>
    <w:rsid w:val="006D5252"/>
    <w:rsid w:val="006D5EF7"/>
    <w:rsid w:val="006E2AFA"/>
    <w:rsid w:val="006F23C5"/>
    <w:rsid w:val="006F3FF4"/>
    <w:rsid w:val="00706425"/>
    <w:rsid w:val="007074D6"/>
    <w:rsid w:val="007107DC"/>
    <w:rsid w:val="00711374"/>
    <w:rsid w:val="00711F86"/>
    <w:rsid w:val="00715236"/>
    <w:rsid w:val="007169D3"/>
    <w:rsid w:val="00723B26"/>
    <w:rsid w:val="007310FB"/>
    <w:rsid w:val="007327C2"/>
    <w:rsid w:val="0073609D"/>
    <w:rsid w:val="00737CB4"/>
    <w:rsid w:val="00757ED7"/>
    <w:rsid w:val="007667EC"/>
    <w:rsid w:val="00770B05"/>
    <w:rsid w:val="00771014"/>
    <w:rsid w:val="00772D10"/>
    <w:rsid w:val="007730E9"/>
    <w:rsid w:val="00775274"/>
    <w:rsid w:val="007776F1"/>
    <w:rsid w:val="0078293B"/>
    <w:rsid w:val="00793730"/>
    <w:rsid w:val="00795299"/>
    <w:rsid w:val="007A06F9"/>
    <w:rsid w:val="007A1CC8"/>
    <w:rsid w:val="007A2634"/>
    <w:rsid w:val="007A55E6"/>
    <w:rsid w:val="007A7F69"/>
    <w:rsid w:val="007B496F"/>
    <w:rsid w:val="007B7A52"/>
    <w:rsid w:val="007C1E8B"/>
    <w:rsid w:val="007C2065"/>
    <w:rsid w:val="007D16D4"/>
    <w:rsid w:val="007D2692"/>
    <w:rsid w:val="007E3250"/>
    <w:rsid w:val="007E3ED8"/>
    <w:rsid w:val="007F652C"/>
    <w:rsid w:val="007F6ACB"/>
    <w:rsid w:val="007F6C7A"/>
    <w:rsid w:val="007F6D24"/>
    <w:rsid w:val="007F71C0"/>
    <w:rsid w:val="007F7F1B"/>
    <w:rsid w:val="0080195C"/>
    <w:rsid w:val="00813AAA"/>
    <w:rsid w:val="008207DA"/>
    <w:rsid w:val="008216CA"/>
    <w:rsid w:val="008220FD"/>
    <w:rsid w:val="00824AAB"/>
    <w:rsid w:val="0082723E"/>
    <w:rsid w:val="0083239E"/>
    <w:rsid w:val="00836554"/>
    <w:rsid w:val="0084085E"/>
    <w:rsid w:val="00841E1B"/>
    <w:rsid w:val="00842A4F"/>
    <w:rsid w:val="00853E67"/>
    <w:rsid w:val="008563D7"/>
    <w:rsid w:val="00863A3B"/>
    <w:rsid w:val="00872477"/>
    <w:rsid w:val="00873A92"/>
    <w:rsid w:val="00876643"/>
    <w:rsid w:val="00883E40"/>
    <w:rsid w:val="008902AB"/>
    <w:rsid w:val="008908B6"/>
    <w:rsid w:val="008A1B31"/>
    <w:rsid w:val="008A37A9"/>
    <w:rsid w:val="008A3AA3"/>
    <w:rsid w:val="008B01D5"/>
    <w:rsid w:val="008B0BD8"/>
    <w:rsid w:val="008B0DFD"/>
    <w:rsid w:val="008B1682"/>
    <w:rsid w:val="008B2FD5"/>
    <w:rsid w:val="008B41D5"/>
    <w:rsid w:val="008B5FB5"/>
    <w:rsid w:val="008B7EDB"/>
    <w:rsid w:val="008C0E05"/>
    <w:rsid w:val="008D31D9"/>
    <w:rsid w:val="008D34F0"/>
    <w:rsid w:val="008E12CB"/>
    <w:rsid w:val="008E19FD"/>
    <w:rsid w:val="008E538E"/>
    <w:rsid w:val="008E7CA2"/>
    <w:rsid w:val="008F0087"/>
    <w:rsid w:val="008F2DFD"/>
    <w:rsid w:val="008F3450"/>
    <w:rsid w:val="008F3F3F"/>
    <w:rsid w:val="008F5475"/>
    <w:rsid w:val="008F588F"/>
    <w:rsid w:val="008F5B7E"/>
    <w:rsid w:val="008F5E44"/>
    <w:rsid w:val="008F7513"/>
    <w:rsid w:val="00900AA7"/>
    <w:rsid w:val="00906ADB"/>
    <w:rsid w:val="00924410"/>
    <w:rsid w:val="00924643"/>
    <w:rsid w:val="0092659E"/>
    <w:rsid w:val="00927AED"/>
    <w:rsid w:val="00932B87"/>
    <w:rsid w:val="00933409"/>
    <w:rsid w:val="00933C39"/>
    <w:rsid w:val="0094331F"/>
    <w:rsid w:val="009439D3"/>
    <w:rsid w:val="0095139D"/>
    <w:rsid w:val="00952A03"/>
    <w:rsid w:val="00952F41"/>
    <w:rsid w:val="00954253"/>
    <w:rsid w:val="00957344"/>
    <w:rsid w:val="009637B6"/>
    <w:rsid w:val="00964638"/>
    <w:rsid w:val="00971AB9"/>
    <w:rsid w:val="009729E1"/>
    <w:rsid w:val="00974007"/>
    <w:rsid w:val="00974B09"/>
    <w:rsid w:val="009772F0"/>
    <w:rsid w:val="0098187F"/>
    <w:rsid w:val="00992B9F"/>
    <w:rsid w:val="009963F6"/>
    <w:rsid w:val="009B1D2B"/>
    <w:rsid w:val="009D1360"/>
    <w:rsid w:val="009E5E58"/>
    <w:rsid w:val="00A03F2A"/>
    <w:rsid w:val="00A071C9"/>
    <w:rsid w:val="00A103DA"/>
    <w:rsid w:val="00A12967"/>
    <w:rsid w:val="00A129C7"/>
    <w:rsid w:val="00A140A1"/>
    <w:rsid w:val="00A174B1"/>
    <w:rsid w:val="00A20432"/>
    <w:rsid w:val="00A24A6F"/>
    <w:rsid w:val="00A301F2"/>
    <w:rsid w:val="00A40A8A"/>
    <w:rsid w:val="00A4193A"/>
    <w:rsid w:val="00A46C76"/>
    <w:rsid w:val="00A474F5"/>
    <w:rsid w:val="00A53071"/>
    <w:rsid w:val="00A56CC8"/>
    <w:rsid w:val="00A56ECD"/>
    <w:rsid w:val="00A574A9"/>
    <w:rsid w:val="00A57FDE"/>
    <w:rsid w:val="00A73094"/>
    <w:rsid w:val="00A8770F"/>
    <w:rsid w:val="00A87E98"/>
    <w:rsid w:val="00A87F1B"/>
    <w:rsid w:val="00A95819"/>
    <w:rsid w:val="00A95E16"/>
    <w:rsid w:val="00AA04A5"/>
    <w:rsid w:val="00AA39FF"/>
    <w:rsid w:val="00AA4206"/>
    <w:rsid w:val="00AA5A30"/>
    <w:rsid w:val="00AA6A72"/>
    <w:rsid w:val="00AB2C36"/>
    <w:rsid w:val="00AC508E"/>
    <w:rsid w:val="00AD0319"/>
    <w:rsid w:val="00AD4700"/>
    <w:rsid w:val="00AE0EE4"/>
    <w:rsid w:val="00AE1E12"/>
    <w:rsid w:val="00AF1453"/>
    <w:rsid w:val="00AF3B79"/>
    <w:rsid w:val="00B12601"/>
    <w:rsid w:val="00B15105"/>
    <w:rsid w:val="00B16ACE"/>
    <w:rsid w:val="00B20443"/>
    <w:rsid w:val="00B2304F"/>
    <w:rsid w:val="00B26BD2"/>
    <w:rsid w:val="00B3140F"/>
    <w:rsid w:val="00B34421"/>
    <w:rsid w:val="00B358F8"/>
    <w:rsid w:val="00B35AEB"/>
    <w:rsid w:val="00B37D29"/>
    <w:rsid w:val="00B44AB3"/>
    <w:rsid w:val="00B520DF"/>
    <w:rsid w:val="00B55D50"/>
    <w:rsid w:val="00B671E8"/>
    <w:rsid w:val="00B706DB"/>
    <w:rsid w:val="00B71F49"/>
    <w:rsid w:val="00B76BF0"/>
    <w:rsid w:val="00B84BF4"/>
    <w:rsid w:val="00B94ADD"/>
    <w:rsid w:val="00BA1998"/>
    <w:rsid w:val="00BA4B8A"/>
    <w:rsid w:val="00BA4E61"/>
    <w:rsid w:val="00BA4F61"/>
    <w:rsid w:val="00BA70D1"/>
    <w:rsid w:val="00BC0A79"/>
    <w:rsid w:val="00BC4AAB"/>
    <w:rsid w:val="00BC4D37"/>
    <w:rsid w:val="00BD0775"/>
    <w:rsid w:val="00BE0671"/>
    <w:rsid w:val="00BE071D"/>
    <w:rsid w:val="00BE166F"/>
    <w:rsid w:val="00BE25D1"/>
    <w:rsid w:val="00BE264F"/>
    <w:rsid w:val="00BE2BF5"/>
    <w:rsid w:val="00BE7650"/>
    <w:rsid w:val="00BF2E7B"/>
    <w:rsid w:val="00BF3863"/>
    <w:rsid w:val="00C0167F"/>
    <w:rsid w:val="00C03EE5"/>
    <w:rsid w:val="00C04EAA"/>
    <w:rsid w:val="00C04EEB"/>
    <w:rsid w:val="00C101BF"/>
    <w:rsid w:val="00C1063C"/>
    <w:rsid w:val="00C10CBA"/>
    <w:rsid w:val="00C14C90"/>
    <w:rsid w:val="00C15BB9"/>
    <w:rsid w:val="00C2095A"/>
    <w:rsid w:val="00C20DDC"/>
    <w:rsid w:val="00C25050"/>
    <w:rsid w:val="00C301AA"/>
    <w:rsid w:val="00C41EE1"/>
    <w:rsid w:val="00C464D2"/>
    <w:rsid w:val="00C472A6"/>
    <w:rsid w:val="00C50C53"/>
    <w:rsid w:val="00C50D8C"/>
    <w:rsid w:val="00C52459"/>
    <w:rsid w:val="00C52467"/>
    <w:rsid w:val="00C61E01"/>
    <w:rsid w:val="00C62146"/>
    <w:rsid w:val="00C65E50"/>
    <w:rsid w:val="00C66BB0"/>
    <w:rsid w:val="00C70615"/>
    <w:rsid w:val="00C8113A"/>
    <w:rsid w:val="00C82AA1"/>
    <w:rsid w:val="00C82DF5"/>
    <w:rsid w:val="00C84763"/>
    <w:rsid w:val="00C858EC"/>
    <w:rsid w:val="00C90949"/>
    <w:rsid w:val="00C90D66"/>
    <w:rsid w:val="00C9317B"/>
    <w:rsid w:val="00C94006"/>
    <w:rsid w:val="00C973CB"/>
    <w:rsid w:val="00CA5FC9"/>
    <w:rsid w:val="00CA5FDC"/>
    <w:rsid w:val="00CB0C7A"/>
    <w:rsid w:val="00CB40DE"/>
    <w:rsid w:val="00CC0C2E"/>
    <w:rsid w:val="00CC157A"/>
    <w:rsid w:val="00CC347B"/>
    <w:rsid w:val="00CC3564"/>
    <w:rsid w:val="00CD06AB"/>
    <w:rsid w:val="00CD79D4"/>
    <w:rsid w:val="00CE0746"/>
    <w:rsid w:val="00CF5416"/>
    <w:rsid w:val="00D04974"/>
    <w:rsid w:val="00D06B60"/>
    <w:rsid w:val="00D11237"/>
    <w:rsid w:val="00D27DD6"/>
    <w:rsid w:val="00D3127F"/>
    <w:rsid w:val="00D343BF"/>
    <w:rsid w:val="00D36C67"/>
    <w:rsid w:val="00D4073B"/>
    <w:rsid w:val="00D50CF5"/>
    <w:rsid w:val="00D523B1"/>
    <w:rsid w:val="00D564F8"/>
    <w:rsid w:val="00D619D5"/>
    <w:rsid w:val="00D63866"/>
    <w:rsid w:val="00D67231"/>
    <w:rsid w:val="00D73144"/>
    <w:rsid w:val="00D7323B"/>
    <w:rsid w:val="00D74984"/>
    <w:rsid w:val="00D84BA1"/>
    <w:rsid w:val="00D856AF"/>
    <w:rsid w:val="00D8673A"/>
    <w:rsid w:val="00D8736A"/>
    <w:rsid w:val="00D952CA"/>
    <w:rsid w:val="00D96CFA"/>
    <w:rsid w:val="00DA1742"/>
    <w:rsid w:val="00DA4668"/>
    <w:rsid w:val="00DA55AA"/>
    <w:rsid w:val="00DA5B49"/>
    <w:rsid w:val="00DA7B17"/>
    <w:rsid w:val="00DB3C66"/>
    <w:rsid w:val="00DB550D"/>
    <w:rsid w:val="00DC1585"/>
    <w:rsid w:val="00DC1AA1"/>
    <w:rsid w:val="00DC1B00"/>
    <w:rsid w:val="00DC20B8"/>
    <w:rsid w:val="00DC6209"/>
    <w:rsid w:val="00DC77E4"/>
    <w:rsid w:val="00DE075B"/>
    <w:rsid w:val="00DF6EF4"/>
    <w:rsid w:val="00E03C7C"/>
    <w:rsid w:val="00E0440E"/>
    <w:rsid w:val="00E04623"/>
    <w:rsid w:val="00E0573C"/>
    <w:rsid w:val="00E07B02"/>
    <w:rsid w:val="00E11672"/>
    <w:rsid w:val="00E1384C"/>
    <w:rsid w:val="00E139D8"/>
    <w:rsid w:val="00E15556"/>
    <w:rsid w:val="00E161AB"/>
    <w:rsid w:val="00E17D81"/>
    <w:rsid w:val="00E214F0"/>
    <w:rsid w:val="00E22280"/>
    <w:rsid w:val="00E2282E"/>
    <w:rsid w:val="00E230D9"/>
    <w:rsid w:val="00E23ADD"/>
    <w:rsid w:val="00E24317"/>
    <w:rsid w:val="00E2538D"/>
    <w:rsid w:val="00E33AA6"/>
    <w:rsid w:val="00E35015"/>
    <w:rsid w:val="00E37CF6"/>
    <w:rsid w:val="00E47595"/>
    <w:rsid w:val="00E5331C"/>
    <w:rsid w:val="00E53A88"/>
    <w:rsid w:val="00E56BC8"/>
    <w:rsid w:val="00E633D6"/>
    <w:rsid w:val="00E64146"/>
    <w:rsid w:val="00E673D7"/>
    <w:rsid w:val="00E738A2"/>
    <w:rsid w:val="00E82FD0"/>
    <w:rsid w:val="00E834A2"/>
    <w:rsid w:val="00E90E38"/>
    <w:rsid w:val="00E92973"/>
    <w:rsid w:val="00E92D22"/>
    <w:rsid w:val="00E95E15"/>
    <w:rsid w:val="00EA1491"/>
    <w:rsid w:val="00EA3AD4"/>
    <w:rsid w:val="00EA5D0D"/>
    <w:rsid w:val="00EA6C2E"/>
    <w:rsid w:val="00EA7740"/>
    <w:rsid w:val="00EB29AE"/>
    <w:rsid w:val="00EB7B8E"/>
    <w:rsid w:val="00ED3FE4"/>
    <w:rsid w:val="00ED52C1"/>
    <w:rsid w:val="00ED57B1"/>
    <w:rsid w:val="00ED63E5"/>
    <w:rsid w:val="00ED6B95"/>
    <w:rsid w:val="00EE5211"/>
    <w:rsid w:val="00EE5529"/>
    <w:rsid w:val="00EE62C6"/>
    <w:rsid w:val="00EF086A"/>
    <w:rsid w:val="00EF1FAB"/>
    <w:rsid w:val="00EF2302"/>
    <w:rsid w:val="00EF2D54"/>
    <w:rsid w:val="00EF4FE6"/>
    <w:rsid w:val="00F027ED"/>
    <w:rsid w:val="00F034FA"/>
    <w:rsid w:val="00F049C1"/>
    <w:rsid w:val="00F30F81"/>
    <w:rsid w:val="00F312C4"/>
    <w:rsid w:val="00F32C04"/>
    <w:rsid w:val="00F36739"/>
    <w:rsid w:val="00F36B78"/>
    <w:rsid w:val="00F37C8D"/>
    <w:rsid w:val="00F4223C"/>
    <w:rsid w:val="00F43669"/>
    <w:rsid w:val="00F53431"/>
    <w:rsid w:val="00F62650"/>
    <w:rsid w:val="00F812FB"/>
    <w:rsid w:val="00F816BB"/>
    <w:rsid w:val="00F8505B"/>
    <w:rsid w:val="00F93059"/>
    <w:rsid w:val="00F96AD5"/>
    <w:rsid w:val="00FA2111"/>
    <w:rsid w:val="00FB2D37"/>
    <w:rsid w:val="00FB6510"/>
    <w:rsid w:val="00FC2A8A"/>
    <w:rsid w:val="00FC3CFF"/>
    <w:rsid w:val="00FC403A"/>
    <w:rsid w:val="00FC4131"/>
    <w:rsid w:val="00FD13FA"/>
    <w:rsid w:val="00FD3370"/>
    <w:rsid w:val="00FD61B5"/>
    <w:rsid w:val="00FE1AD4"/>
    <w:rsid w:val="00FE210D"/>
    <w:rsid w:val="00FE25FC"/>
    <w:rsid w:val="00FE2F15"/>
    <w:rsid w:val="00FE4D98"/>
    <w:rsid w:val="00FE6106"/>
    <w:rsid w:val="00FF2FB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36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E12CB"/>
    <w:pPr>
      <w:keepNext/>
      <w:spacing w:before="240" w:after="60" w:line="276" w:lineRule="auto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E12CB"/>
    <w:pPr>
      <w:spacing w:before="60" w:after="200" w:line="276" w:lineRule="auto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EE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8E12CB"/>
    <w:pPr>
      <w:keepNext/>
      <w:keepLines/>
      <w:spacing w:before="300" w:after="100" w:line="276" w:lineRule="auto"/>
      <w:contextualSpacing/>
      <w:outlineLvl w:val="3"/>
    </w:pPr>
    <w:rPr>
      <w:rFonts w:asciiTheme="minorHAnsi" w:eastAsiaTheme="majorEastAsia" w:hAnsiTheme="minorHAnsi" w:cstheme="majorBidi"/>
      <w:b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1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B13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3">
    <w:name w:val="List Table 1 Light Accent 3"/>
    <w:basedOn w:val="TableNormal"/>
    <w:uiPriority w:val="46"/>
    <w:rsid w:val="001B13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1B132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132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1B13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B1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2B"/>
  </w:style>
  <w:style w:type="paragraph" w:styleId="Footer">
    <w:name w:val="footer"/>
    <w:basedOn w:val="Normal"/>
    <w:link w:val="FooterChar"/>
    <w:uiPriority w:val="99"/>
    <w:unhideWhenUsed/>
    <w:rsid w:val="001B1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2B"/>
  </w:style>
  <w:style w:type="table" w:customStyle="1" w:styleId="TableGrid1">
    <w:name w:val="Table Grid1"/>
    <w:basedOn w:val="TableNormal"/>
    <w:next w:val="TableGrid"/>
    <w:uiPriority w:val="39"/>
    <w:rsid w:val="000F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B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74B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09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536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20C3D"/>
  </w:style>
  <w:style w:type="paragraph" w:styleId="NormalWeb">
    <w:name w:val="Normal (Web)"/>
    <w:basedOn w:val="Normal"/>
    <w:uiPriority w:val="99"/>
    <w:unhideWhenUsed/>
    <w:rsid w:val="000C7F39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1C1A49"/>
  </w:style>
  <w:style w:type="character" w:styleId="CommentReference">
    <w:name w:val="annotation reference"/>
    <w:basedOn w:val="DefaultParagraphFont"/>
    <w:uiPriority w:val="99"/>
    <w:semiHidden/>
    <w:unhideWhenUsed/>
    <w:rsid w:val="00820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7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7D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A4B8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0E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E12CB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2CB"/>
    <w:rPr>
      <w:rFonts w:eastAsia="Times New Roman" w:cs="Times New Roman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12CB"/>
    <w:rPr>
      <w:rFonts w:eastAsiaTheme="majorEastAsia" w:cstheme="majorBidi"/>
      <w:b/>
      <w:iCs/>
      <w:sz w:val="22"/>
      <w:szCs w:val="22"/>
    </w:rPr>
  </w:style>
  <w:style w:type="paragraph" w:customStyle="1" w:styleId="Location">
    <w:name w:val="Location"/>
    <w:basedOn w:val="Normal"/>
    <w:uiPriority w:val="11"/>
    <w:qFormat/>
    <w:rsid w:val="008E12CB"/>
    <w:pPr>
      <w:spacing w:before="60" w:after="60" w:line="276" w:lineRule="auto"/>
      <w:jc w:val="right"/>
    </w:pPr>
    <w:rPr>
      <w:rFonts w:asciiTheme="minorHAnsi" w:hAnsiTheme="minorHAnsi"/>
      <w:sz w:val="22"/>
      <w:szCs w:val="22"/>
    </w:rPr>
  </w:style>
  <w:style w:type="table" w:customStyle="1" w:styleId="Style1">
    <w:name w:val="Style1"/>
    <w:basedOn w:val="TableNormal"/>
    <w:uiPriority w:val="99"/>
    <w:rsid w:val="008E12CB"/>
    <w:rPr>
      <w:rFonts w:eastAsia="Times New Roman" w:cs="Times New Roman"/>
      <w:sz w:val="22"/>
      <w:szCs w:val="22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customStyle="1" w:styleId="xmsonormal">
    <w:name w:val="x_msonormal"/>
    <w:basedOn w:val="Normal"/>
    <w:uiPriority w:val="99"/>
    <w:semiHidden/>
    <w:rsid w:val="00D8673A"/>
    <w:rPr>
      <w:rFonts w:ascii="Calibri" w:eastAsiaTheme="minorHAnsi" w:hAnsi="Calibri" w:cs="Calibri"/>
      <w:sz w:val="22"/>
      <w:szCs w:val="22"/>
    </w:rPr>
  </w:style>
  <w:style w:type="paragraph" w:customStyle="1" w:styleId="comp">
    <w:name w:val="comp"/>
    <w:basedOn w:val="Normal"/>
    <w:rsid w:val="00267C1B"/>
    <w:pPr>
      <w:spacing w:before="100" w:beforeAutospacing="1" w:after="100" w:afterAutospacing="1"/>
    </w:pPr>
  </w:style>
  <w:style w:type="paragraph" w:customStyle="1" w:styleId="xmsolistparagraph">
    <w:name w:val="xmsolistparagraph"/>
    <w:basedOn w:val="Normal"/>
    <w:rsid w:val="003430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hsa.gov/sites/default/files/programs_campaigns/ccbhc-criteria.pdf" TargetMode="External"/><Relationship Id="rId13" Type="http://schemas.openxmlformats.org/officeDocument/2006/relationships/hyperlink" Target="mailto:Mindy@thirdhorizonstrategi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pcolorado.org/community-health-workers/" TargetMode="External"/><Relationship Id="rId12" Type="http://schemas.openxmlformats.org/officeDocument/2006/relationships/hyperlink" Target="https://thirdhorizonstrategies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o.gov/assets/gao-21-39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henationalcouncil.org/wp-content/uploads/2021/05/052421_CCBHC_ImpactReport_2021_Final.pdf?daf=375ateTbd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hsa.gov/grants/grant-announcements-202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Mindy K</cp:lastModifiedBy>
  <cp:revision>2</cp:revision>
  <dcterms:created xsi:type="dcterms:W3CDTF">2021-08-04T16:36:00Z</dcterms:created>
  <dcterms:modified xsi:type="dcterms:W3CDTF">2021-08-04T16:36:00Z</dcterms:modified>
</cp:coreProperties>
</file>